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5C.176/2006 vom 27. Oktober 2006</w:t>
      </w:r>
    </w:p>
    <w:p>
      <w:r>
        <w:t>Bundesgericht, 2006-10-27, FR</w:t>
      </w:r>
    </w:p>
    <w:p>
      <w:r>
        <w:rPr>
          <w:b/>
        </w:rPr>
        <w:t xml:space="preserve">Quelle: </w:t>
      </w:r>
      <w:r>
        <w:t>https://mcp.opencaselaw.ch/entscheid/bger_5C.176_2006</w:t>
      </w:r>
    </w:p>
    <w:p>
      <w:r>
        <w:t>FR: TF 5C.176/2006 du 27 octobre 2006</w:t>
      </w:r>
    </w:p>
    <w:p>
      <w:r>
        <w:t>IT: TF 5C.176/2006 del 27 ottobre 2006</w:t>
      </w:r>
    </w:p>
    <w:p>
      <w:pPr>
        <w:pStyle w:val="Heading2"/>
      </w:pPr>
      <w:r>
        <w:t>Erwägungen</w:t>
      </w:r>
    </w:p>
    <w:p>
      <w:r>
        <w:rPr>
          <w:b/>
        </w:rPr>
        <w:t>E. 1</w:t>
      </w:r>
    </w:p>
    <w:p>
      <w:r>
        <w:t>Le Tribunal fédéral examine d'office et librement la recevabilité des recours qui lui sont soumis ( ATF 131 II 58 consid. 1 p. 60 et les arrêts cités).</w:t>
      </w:r>
    </w:p>
    <w:p>
      <w:r>
        <w:rPr>
          <w:b/>
        </w:rPr>
        <w:t>E. 1.1</w:t>
      </w:r>
    </w:p>
    <w:p>
      <w:r>
        <w:t>Déposé en temps utile contre une décision finale prise en dernière instance par le tribunal suprême du canton, le recours en réforme est ouvert sous l'angle des art. 48 al. 1 et 54 al. 1 OJ. La valeur litigieuse est atteinte, en sorte qu'il est aussi recevable du chef de l' art. 46 OJ .</w:t>
      </w:r>
    </w:p>
    <w:p>
      <w:r>
        <w:rPr>
          <w:b/>
        </w:rPr>
        <w:t>E. 1.2</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 art. 64 OJ ; ATF 130 III 102 consid. 2.2 p. 106). Hormis ces exceptions, il ne peut être présenté de griefs contre les constatations de fait - ou l'appréciation des preuves à laquelle s'est livrée l'autorité cantonale ( ATF 130 III 136 consid. 1.4 p. 140; 129 III 320 consid. 6.3 p. 327) - ni de faits ou de moyens de preuve nouveaux ( art. 55 al. 1 let . c OJ).</w:t>
      </w:r>
    </w:p>
    <w:p>
      <w:r>
        <w:rPr>
          <w:b/>
        </w:rPr>
        <w:t>E. 2</w:t>
      </w:r>
    </w:p>
    <w:p>
      <w:r>
        <w:t>Seul demeure litigieux le sort de la prévoyance professionnelle accumulée par le mari durant le mariage.</w:t>
      </w:r>
    </w:p>
    <w:p>
      <w:r>
        <w:rPr>
          <w:b/>
        </w:rPr>
        <w:t>E. 2.1</w:t>
      </w:r>
    </w:p>
    <w:p>
      <w:r>
        <w:t>Selon l' art. 122 al. 1 CC , lorsqu'un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(LFLP; RS 831.42). Aux termes de l' art. 124 al. 1 CC , une indemnité équitable est due quand un cas de prévoyance est déjà survenu pour l'un des époux ou les deux, ou quand les prétentions en matière de prévoyance professionnelle acquises durant le mariage ne peuvent être partagées pour d'autres motifs.</w:t>
      </w:r>
    </w:p>
    <w:p>
      <w:r>
        <w:t>Selon la jurisprudence, le législateur a exclu le partage des avoirs de prévoyance en cas de survenance d'un cas de prévoyance essentiellement pour des motifs pratiques. Par la survenance d'un cas de prévoyance, il faut entendre la naissance d'un droit concret à des prestations de la prévoyance professionnelle, qui rend impossible le partage des avoirs de prévoyance à la base des prestations servies. Ainsi, la survenance de l'âge de la retraite ou du droit à des prestations d'invalidité d'un conjoint qui n'a jamais travaillé ou qui n'a jamais été affilié à la prévoyance professionnelle, dans la mesure où il n'entraîne aucun droit à des prestations d'une institution de prévoyance, permet encore le partage des avoirs de la prévoyance professionnelle de l'autre conjoint en sa faveur (arrêt du Tribunal fédéral des assurances B 19/03 du 30 janvier 2004, consid. 5, résumé in: RSAS 2004 p. 572; Thomas Sutter/Dieter Freiburghaus, Kommentar zum neuen Scheidungsrecht, 1999, n. 1 et 3 ad art. 124 CC ; n. 13 ss ad art. 122/141-142 CC).</w:t>
      </w:r>
    </w:p>
    <w:p>
      <w:r>
        <w:rPr>
          <w:b/>
        </w:rPr>
        <w:t>E. 2.2</w:t>
      </w:r>
    </w:p>
    <w:p>
      <w:r>
        <w:t>En l'espèce, il ressort de l'arrêt attaqué que la demanderesse est rentière AI, que son invalidité est antérieure au mariage et qu'elle n'a pas acquis de prétentions en matière de prévoyance professionnelle durant le mariage. Aucun cas de prévoyance n'est donc réalisé.</w:t>
      </w:r>
    </w:p>
    <w:p>
      <w:r>
        <w:t>C'est ainsi à raison que la cour cantonale a considéré que l' art. 122 CC est en principe applicable.</w:t>
      </w:r>
    </w:p>
    <w:p>
      <w:r>
        <w:rPr>
          <w:b/>
        </w:rPr>
        <w:t>E. 3</w:t>
      </w:r>
    </w:p>
    <w:p>
      <w:r>
        <w:t>Toutefois, la cour cantonale a refusé de partager par moitié la prestation de sortie acquise par le mari durant le mariage, en se fondant sur l' art. 123 al. 2 CC . La demanderesse invoque la violation de cette disposition et conclut au partage par moitié.</w:t>
      </w:r>
    </w:p>
    <w:p>
      <w:r>
        <w:rPr>
          <w:b/>
        </w:rPr>
        <w:t>E. 3.1</w:t>
      </w:r>
    </w:p>
    <w:p>
      <w:r>
        <w:t>Les prestations de sortie de la prévoyance professionnelle des époux doivent en principe être partagées entre eux par moitié ( art. 122 CC ). Exceptionnellement, le juge peut refuser le partage, en tout ou en partie, lorsque celui-ci s'avère manifestement inéquitable pour des motifs tenant à la liquidation du régime matrimonial ou à la situation économique des époux après le divorce ( art. 123 al. 2 CC ).</w:t>
      </w:r>
    </w:p>
    <w:p>
      <w:r>
        <w:t>Selon l'intention du législateur, la prévoyance professionnelle constituée pendant la durée du mariage doit profiter aux deux conjoints de manière égale. Ainsi, lorsque l'un des deux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 ATF 129 III 577 consid. 4.2.1 p. 578).</w:t>
      </w:r>
    </w:p>
    <w:p>
      <w:r>
        <w:t>L' art. 123 al. 2 CC doit être appliqué de manière restrictive, afin d'éviter que le principe du partage par moitié des avoirs de prévoyance ne soit vidé de son contenu (Baumann/Lauterburg, FamKomm Scheidung, 2005, n. 59 ad art. 123 CC ). Seules des circonstances économiques postérieures au divorce peuvent justifier le refus du partage, circonstances que le juge doit apprécier en appliquant les règles du droit et de l'équité ( ATF 129 III 577 consid. 4.2.1 et 4.2.2 p. 578 et les références citées).</w:t>
      </w:r>
    </w:p>
    <w:p>
      <w:r>
        <w:rPr>
          <w:b/>
        </w:rPr>
        <w:t>E. 3.2</w:t>
      </w:r>
    </w:p>
    <w:p>
      <w:r>
        <w:t>La cour cantonale a considéré que la procédure d'administration des preuves n'a pas permis d'établir que les époux seraient titulaires d'une fortune, mobilière ou immobilière, en particulier que le mari posséderait une maison au Kosovo.</w:t>
      </w:r>
    </w:p>
    <w:p>
      <w:r>
        <w:t>S'agissant de leurs revenus, la cour cantonale a constaté que l'épouse touche une rente AI de 1'823 fr. par mois. Au moment où elle atteindra l'âge de la retraite, le montant de sa rente continuera à lui être versé. Quant au mari, il touche une rente AVS de 681 fr. par mois depuis septembre 2005, ainsi qu'une rente LPP de 853 fr. par mois, soit 1'534 fr. au total.</w:t>
      </w:r>
    </w:p>
    <w:p>
      <w:r>
        <w:rPr>
          <w:b/>
        </w:rPr>
        <w:t>E. 3.2.1</w:t>
      </w:r>
    </w:p>
    <w:p>
      <w:r>
        <w:t>La demanderesse reproche à l'autorité cantonale d'avoir refusé le partage parce qu'il serait "inéquitable" et non, comme le prévoit la loi, "manifestement inéquitable" (cf. art. 123 al. 2 CC ).</w:t>
      </w:r>
    </w:p>
    <w:p>
      <w:r>
        <w:t>-:-</w:t>
      </w:r>
    </w:p>
    <w:p>
      <w:r>
        <w:t>-:-</w:t>
      </w:r>
    </w:p>
    <w:p>
      <w:r>
        <w:t>La cour cantonale n'a pas méconnu, dans son exposé en droit, le fait que la loi exige que le partage soit "manifestement inéquitable", même si elle a omis l'adverbe dans sa conclusion.</w:t>
      </w:r>
    </w:p>
    <w:p>
      <w:r>
        <w:t>Quoi qu'il en soit, le refus du partage n'apparaît pas manifestement inéquitable, puisque le mari ne dispose pas de fortune et que sa rente, à sa retraite, sera inférieure à celle de la demanderesse. La cour cantonale n'a donc pas violé le droit fédéral.</w:t>
      </w:r>
    </w:p>
    <w:p>
      <w:r>
        <w:rPr>
          <w:b/>
        </w:rPr>
        <w:t>E. 3.2.2</w:t>
      </w:r>
    </w:p>
    <w:p>
      <w:r>
        <w:t>Lorsqu'elle soutient que le défendeur avait un petit terrain au Kosovo sur lequel se trouve une vieille maison en mauvais état, et que c'est "son problème" s'il a cédé ce bien à sa première femme, que cette maison est habitable et habitée et que les explications du défendeur sont sujettes à caution, la demanderesse se fonde sur des faits non établis et remet en cause les constatations de fait de la cour cantonale, ce qui est inadmissible dans un recours en réforme (consid.1.2).</w:t>
      </w:r>
    </w:p>
    <w:p>
      <w:r>
        <w:rPr>
          <w:b/>
        </w:rPr>
        <w:t>E. 3.2.3</w:t>
      </w:r>
    </w:p>
    <w:p>
      <w:r>
        <w:t>L'autorité cantonale considère que la procédure d'administration des preuves n'a pas permis d'établir que le mari aurait racheté une prestation de libre-passage, comme l'alléguait l'épouse en se fondant sur une lettre de Swisslife du 21 mars 2005. Lorsqu'elle soutient que cette lettre ne se prononce pas sur la période antérieure au 1er juillet 1995, qu'elle allègue que son mari n'a jamais cotisé à la LPP avant son mariage et qu'il a racheté la prestation de sortie à la date du mariage en la finançant au moyen de son salaire pendant le mariage et de l'aide financière de son épouse après le mariage, donc au moyen d'acquêts, et qu'il est prouvé que le mari a racheté une prestation de libre-passage, la demanderesse s'en prend à l'appréciation des preuves et à la constatation des faits de la cour cantonale, ce qui est inadmissible dans un recours en réforme (consid. 1.2).</w:t>
      </w:r>
    </w:p>
    <w:p>
      <w:r>
        <w:rPr>
          <w:b/>
        </w:rPr>
        <w:t>E. 3.2.4</w:t>
      </w:r>
    </w:p>
    <w:p>
      <w:r>
        <w:t>L'autorité cantonale retient que l'épouse touchera en définitive une rente plus élevée que l'époux. La demanderesse, quant à elle, soutient qu'il n'est pas certain que la situation des époux sera fort différente sous l'angle des rentes qu'ils toucheront. Il s'agit là encore d'une critique concernant l'état de fait, irrecevable en recours en réforme (consid. 1.2).</w:t>
      </w:r>
    </w:p>
    <w:p>
      <w:r>
        <w:rPr>
          <w:b/>
        </w:rPr>
        <w:t>E. 3.2.5</w:t>
      </w:r>
    </w:p>
    <w:p>
      <w:r>
        <w:t>La cour cantonale relève que la situation économique de l'épouse n'a pas été modifiée par le mariage. A cet égard, la demanderesse voudrait qu'il soit tenu compte du fait qu'une bonne part de sa rente a été utilisée en faveur de son ex-mari et du fils de celui-ci. Il s'agit une nouvelle fois d'une critique des faits inadmissible dans un recours en réforme (consid. 1.2).</w:t>
      </w:r>
    </w:p>
    <w:p>
      <w:r>
        <w:rPr>
          <w:b/>
        </w:rPr>
        <w:t>E. 3.2.6</w:t>
      </w:r>
    </w:p>
    <w:p>
      <w:r>
        <w:t>La cour cantonale constate que le défendeur a constitué presque intégralement son 2e pilier durant son mariage. La demanderesse admet cet élément mais soutient que le défendeur aurait racheté une prestation de libre-passage. Le sort de ce grief a déjà été liquidé ci-dessus.</w:t>
      </w:r>
    </w:p>
    <w:p>
      <w:r>
        <w:rPr>
          <w:b/>
        </w:rPr>
        <w:t>E. 3.2.7</w:t>
      </w:r>
    </w:p>
    <w:p>
      <w:r>
        <w:t>L'autorité cantonale considère enfin, à raison, que le but du partage n'est pas de permettre à son bénéficiaire d'éponger des dettes qu'il aurait contractées. Le grief de la demanderesse, qui estime que cela pourrait promouvoir son indépendance économique et assurer l'égalité entre les époux, est ainsi infondé.</w:t>
      </w:r>
    </w:p>
    <w:p>
      <w:r>
        <w:rPr>
          <w:b/>
        </w:rPr>
        <w:t>E. 4</w:t>
      </w:r>
    </w:p>
    <w:p>
      <w:r>
        <w:t>En conclusion, le recours en réforme de la demanderesse doit être rejeté, dans la faible mesure de sa recevabilité. Sa requête d'assistance judiciaire doit être rejetée, vu le caractère manifestement dépourvu de toute chance de succès de son recours ( art. 152 al. 1 OJ ). Les frais de justice, dont le montant sera arrêté en fonction de sa situation financière, doivent donc être mis à sa charge (art. 153a al. 1 et 156 al. 1 OJ). La demanderesse versera une indemnité de dépens au défendeur, qui s'est déterminé sur le recours ( art. 159 al. 1 OJ ). Il n'y a pas lieu de prévoir, pour le cas où les dépens seraient irrécupérables, l'indemnisation de son avocat par la Caisse du Tribunal fédéral, dès lors que sa requête d'assistance judiciaire doit être rejetée au vu de sa situation financière actuelle (salaire mensuel net y compris 13e: 4'435 fr. + rente AVS: 613 fr., soit 5'048 fr.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