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5C.170/2005 vom 7. Dezember 2005</w:t>
      </w:r>
    </w:p>
    <w:p>
      <w:r>
        <w:t>Bundesgericht, 2005-12-07, FR</w:t>
      </w:r>
    </w:p>
    <w:p>
      <w:r>
        <w:rPr>
          <w:b/>
        </w:rPr>
        <w:t xml:space="preserve">Quelle: </w:t>
      </w:r>
      <w:r>
        <w:t>https://mcp.opencaselaw.ch/entscheid/bger_5C.170_2005</w:t>
      </w:r>
    </w:p>
    <w:p>
      <w:r>
        <w:t>FR: TF 5C.170/2005 du 7 décembre 2005</w:t>
      </w:r>
    </w:p>
    <w:p>
      <w:r>
        <w:t>IT: TF 5C.170/2005 del 7 dicembre 2005</w:t>
      </w:r>
    </w:p>
    <w:p>
      <w:pPr>
        <w:pStyle w:val="Heading2"/>
      </w:pPr>
      <w:r>
        <w:t>Erwägungen</w:t>
      </w:r>
    </w:p>
    <w:p>
      <w:r>
        <w:rPr>
          <w:b/>
        </w:rPr>
        <w:t>E. 1</w:t>
      </w:r>
    </w:p>
    <w:p>
      <w:r>
        <w:t>La décision rendue sur une action en revendication dans la faillite au sens de l' art. 242 LP tranche une contestation de droit des poursuites qui doit toutefois être assimilée à une contestation civile pouvant en principe faire l'objet d'un recours en réforme ( ATF 93 II 436 consid. 1; 81 II 82 consid. 1 in fine; 118 II 150 , consid. 1 non publié). Interjeté en temps utile ( art. 54 al. 1 OJ ) contre une décision finale prise par le tribunal suprême du canton de Genève et qui ne peut pas être l'objet d'un recours ordinaire de droit cantonal ( art. 48 al. 1 OJ ), le recours est donc recevable. En effet, la valeur litigieuse dépasse manifestement le seuil de 8'000 fr. fixé par l' art. 46 OJ , ainsi que la cour cantonale l'a constaté, conformément à ce que prescrit l' art. 51 al. 1 let. a OJ , au considérant 1 de son arrêt.</w:t>
      </w:r>
    </w:p>
    <w:p>
      <w:r>
        <w:rPr>
          <w:b/>
        </w:rPr>
        <w:t>E. 2.1</w:t>
      </w:r>
    </w:p>
    <w:p>
      <w:r>
        <w:t>La défenderesse reproche à la cour cantonale de ne pas avoir appliqué correctement les règles de droit fédéral relatives au transfert de la propriété ( art. 714 ss CC ) et de la possession ( art. 922 ss CC ). Ses griefs peuvent être résumés comme suit :</w:t>
      </w:r>
    </w:p>
    <w:p>
      <w:r>
        <w:t>La cour cantonale a expressément constaté que le demandeur n'avait pas procédé aux démarches convenues entre les parties, à savoir le changement de titulaire du permis de circulation et de la police d'assurance du véhicule ainsi que le paiement des impôts et des taxes y relatifs. Alors qu'elle aurait dû nécessairement en conclure que le transfert de possession n'avait pas eu lieu, elle semble se satisfaire à cet égard du fait que le demandeur avait déjà la possession dérivée du véhicule avant que celui-ci ne lui soit donné. Or le transfert de la propriété nécessite le transfert de la possession. Celui-ci était en l'espèce censé s'opérer par brevi manu traditio, puisque le demandeur était déjà en possession du véhicule au moment où le propriétaire de celui-ci s'est engagé à lui en céder la propriété. En pareil cas, aliénateur et acquéreur doivent conclure un contrat possessoire, selon lequel l'aliénateur renonce en faveur de l'acquéreur à sa possession originaire. Or en l'occurrence, le contrat possessoire prévoyait pour opérer le transfert de propriété (l"échange de propriété" mentionné dans la lettre du 2 octobre 2001) l'exécution de certaines démarches, qui n'ont pas été effectuées. Comme le contrat possessoire n'a ainsi pas été exécuté, le demandeur n'a jamais acquis la possession originaire, ni par conséquent la propriété, du véhicule revendiqué. Il est tout au plus titulaire d'une créance contre la défenderesse, visant au transfert de la propriété de ce véhicule conformément au contrat de donation (ou à un autre contrat générateur d'obligations), mais le véhicule est toujours propriété de la masse.</w:t>
      </w:r>
    </w:p>
    <w:p>
      <w:r>
        <w:rPr>
          <w:b/>
        </w:rPr>
        <w:t>E. 2.2</w:t>
      </w:r>
    </w:p>
    <w:p>
      <w:r>
        <w:t>L'acquisition de la propriété mobilière est parfaite lorsque le transfert de la possession à l'acquéreur complète l'opération d'acquisition par laquelle l'aliénateur exécute l'obligation résultant pour lui du titre d'acquisition ( art. 714 al. 1 CC ; ATF 131 III 217 consid. 4.1). Conformément au principe de la publicité des droits réels, le transfert de la possession est ainsi l'acte matériel propre à produire les effets voulus par le contrat réel, à savoir le transfert de la propriété à l'acquéreur. Tous les modes de transfert de la possession prévus aux art. 922 ss CC , avec ou sans remise de la chose, peuvent être utilisés (Steinauer, Les droits réels, tome II, 3e éd. 2002, n. 2018).</w:t>
      </w:r>
    </w:p>
    <w:p>
      <w:r>
        <w:t>Parmi les modes d'acquisition dérivée de la possession sans remise de la chose se trouve la brevi manu traditio, non régie par le Code car considérée comme allant de soi (cf. sur la délégation de possession, autre mode d'acquisition dérivée de la possession sans remise de la chose qui est expressément prévu par l' art. 924 al. 1 CC , arrêt 5C.182/2005 du 2 décembre 2005, destiné à la publication, consid. 4). Il s'agit du cas où l'acquéreur a la possession dérivée - et en général immédiate - de la chose à un titre spécial (bail, dépôt, nantissement, prêt à usage, etc.) et où l'aliénateur conclut avec l'acquéreur un contrat possessoire par lequel il renonce à sa possession originaire en faveur de l'acquéreur (Steinauer, Les droits réels, tome I, 3e éd. 1997, n. 262 et 288 s.; Stark, Berner Kommentar, Band IV/3/1, 2001, n. 79 s. ad art. 922 CC ; Homberger, Zürcher Kommentar, Band IV/3, 1938, n. 22 s. ad art. 924 CC ).</w:t>
      </w:r>
    </w:p>
    <w:p>
      <w:r>
        <w:t>L'acquisition de la possession par brevi manu traditio a lieu en principe au moment de la conclusion du contrat possessoire par lequel l'aliénateur renonce à sa possession originaire en faveur de l'acquéreur (Steinauer, op. cit., n. 288; Stark, op. cit., n. 89 ad art. 922 CC ). Toutefois, si ce contrat contient une condition suspensive, la possession originaire - et donc la propriété - n'est transférée que lors de son avènement (Stark, op. cit., n. 90 ad art. 922 CC et les références citées; Homberger, op. cit., n. 23 ad art. 924 CC ; cf. Steinauer, op. cit., n. 2014; ATF 56 II 203 consid. 4).</w:t>
      </w:r>
    </w:p>
    <w:p>
      <w:r>
        <w:rPr>
          <w:b/>
        </w:rPr>
        <w:t>E. 2.3</w:t>
      </w:r>
    </w:p>
    <w:p>
      <w:r>
        <w:t>En l'espèce, la cour cantonale a retenu à juste titre qu'au moment où S.________ SA s'est engagée, par décision de son conseil d'administration du 1er octobre 2001, à céder la propriété du véhicule litigieux au demandeur, celui-ci avait la possession dérivée de ce véhicule, qui était mis à sa disposition comme voiture de fonction (cf. lettre D.d supra). La cour cantonale a par ailleurs constaté en fait, de manière à lier le Tribunal fédéral en instance de réforme ( art. 63 al. 2 OJ ), que S.________ SA, en tant qu'aliénateur, avait manifesté la volonté de transférer la propriété du véhicule litigieux non pas immédiatement, mais après que le demandeur aurait effectué certaines démarches, dont on devait raisonnablement retenir qu'il s'agissait du changement de titulaire du permis de circulation et de la police d'assurance, ainsi que du paiement des impôts et des taxes y relatifs (cf. lettre D.c supra).</w:t>
      </w:r>
    </w:p>
    <w:p>
      <w:r>
        <w:t>Force est ainsi de constater que les parties ont conclu, en vue du transfert de la possession du véhicule par brevi manu traditio, un contrat possessoire en vertu duquel le demandeur devait acquérir la possession originaire et la propriété du véhicule litigieux après qu'il aurait accompli les démarches en question. Or selon les constatations de fait souveraines de l'arrêt attaqué ( art. 63 al. 2 OJ ), le demandeur n'a pas procédé au changement de titulaire du permis de circulation et de la police d'assurance, vraisemblablement, selon les juges cantonaux, pour ne pas avoir à payer les primes, frais, impôts et taxes relatifs au véhicule (cf. lettre D.e supra). Il s'ensuit que le demandeur n'a pas acquis la possession originaire du véhicule litigieux, qui est ainsi demeuré la propriété de S.________ SA et est entré dans la masse au moment de l'ouverture de la faillite de celle-ci ( art. 197 al. 1 LP ). Cela étant, les considérations de l'autorité cantonale sur l'opposabilité aux tiers, au regard des règles sur le constitut possessoire, d'un transfert de propriété dont on vient de voir qu'il n'a pas eu lieu sont sans pertinence.</w:t>
      </w:r>
    </w:p>
    <w:p>
      <w:r>
        <w:rPr>
          <w:b/>
        </w:rPr>
        <w:t>E. 3</w:t>
      </w:r>
    </w:p>
    <w:p>
      <w:r>
        <w:t>Il résulte de ce qui précède que le recours, fondé, doit être admis et l'arrêt attaqué réformé en ce sens que le demandeur est débouté de son action en revendication portant sur le véhicule Porsche référencé sous revendication n° 10 dans la faillite de S.________ SA et immatriculé GE .... Pour le surplus, l'affaire sera renvoyée à l'autorité cantonale pour nouvelle décision sur les frais et dépens de la procédure cantonale (cf. art. 157 et 159 al. 6 OJ ). Le demandeur, qui succombe, supportera les frais judiciaires ( art. 156 al. 1 OJ ) ainsi que les frais indispensables occasionnés par le litige à la défenderesse, qui obtient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