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5C.166/2001 vom 2. November 2000</w:t>
      </w:r>
    </w:p>
    <w:p>
      <w:r>
        <w:t>Bundesgericht, 2000-11-02, FR</w:t>
      </w:r>
    </w:p>
    <w:p>
      <w:r>
        <w:rPr>
          <w:b/>
        </w:rPr>
        <w:t xml:space="preserve">Quelle: </w:t>
      </w:r>
      <w:r>
        <w:t>https://mcp.opencaselaw.ch/entscheid/bger_5C.166_2001</w:t>
      </w:r>
    </w:p>
    <w:p>
      <w:r>
        <w:t>FR: TF 5C.166/2001 du 2 novembre 2000</w:t>
      </w:r>
    </w:p>
    <w:p>
      <w:r>
        <w:t>IT: TF 5C.166/2001 del 2 novembre 2000</w:t>
      </w:r>
    </w:p>
    <w:p>
      <w:pPr>
        <w:pStyle w:val="Heading2"/>
      </w:pPr>
      <w:r>
        <w:t>Regeste</w:t>
      </w:r>
    </w:p>
    <w:p>
      <w:r>
        <w:t>Droit de la famille</w:t>
      </w:r>
    </w:p>
    <w:p>
      <w:pPr>
        <w:pStyle w:val="Heading2"/>
      </w:pPr>
      <w:r>
        <w:t>Erwägungen</w:t>
      </w:r>
    </w:p>
    <w:p>
      <w:r>
        <w:rPr>
          <w:b/>
        </w:rPr>
        <w:t>E. 1</w:t>
      </w:r>
    </w:p>
    <w:p>
      <w:r>
        <w:t>Le recours est recevable du chef de l' art. 44 OJ , en tant qu'il porte sur l'attribution de l'autorité parentale sur l'enfant A.________, ainsi que, par attraction, sur la contribution à l'entretien de celle-ci (Poudret, Commentaire de la loi fédérale d'organisation judiciaire, vol. II, 1990, n. 1.4 ad art. 44 OJ ). En ce qui concerne la contribution réclamée par la recourante pour son propre entretien et ses autres conclusions pécuniaires, le recours est également recevable dès lors que la valeur litigieuse de 8'000 fr. exigée par l' art. 46 OJ est manifestement atteinte en l'espèce. Enfin, déposé en temps utile contre une décision finale rendue en dernière instance par le tribunal suprême du canton du Jura, le recours est recevable sous l'angle des art. 54 al. 1 et 48 al. 1 OJ.</w:t>
      </w:r>
    </w:p>
    <w:p>
      <w:r>
        <w:rPr>
          <w:b/>
        </w:rPr>
        <w:t>E. 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Au surplus, il ne peut être présenté dans un recours en réforme de griefs contre les constatations de fait, ni de faits ou de moyens de preuve nouveaux ( art. 55 al. 1 let . c OJ), de sorte que l'appréciation des preuves à laquelle s'est livrée l'autorité cantonale ne peut être remise en cause en instance de réforme ( ATF 126 III 189 consid. 2a; 125 III 78 consid. 3a).</w:t>
      </w:r>
    </w:p>
    <w:p>
      <w:r>
        <w:rPr>
          <w:b/>
        </w:rPr>
        <w:t>E. 3</w:t>
      </w:r>
    </w:p>
    <w:p>
      <w:r>
        <w:t>a) En ce qui concerne l'attribution de l'autorité parentale sur l'enfant A.________, les juges cantonaux ont retenu en fait que celle-ci était très intégrée à X.________, où elle avait ses racines et où entretenait des relations perçues comme sécurisantes avec sa proche parenté, notamment sa grand-mère qui aidait son père dans les tâches ménagères. De l'avis des médecins pédopsychiatres qui avaient procédé à une expertise concernant la capacité éducative des deux parents, la mère paraissait fragile tant sur le plan physique que psychique; selon ces experts, il ne paraissait pas indiqué de changer le système mis en vigueur et il se justifiait de confirmer l'attribution de l'autorité parentale au père, en envisageant la nomination d'un curateur qui favoriserait les changements et aides nécessaires pour l'évolution de l'enfant. Cet avis était partagé par le curateur de l'enfant, selon qui cette dernière voulait rester avec son père et sa grand-mère à X.________, son lieu de vie. Sur le vu de ces circonstances, les juges cantonaux ont estimé qu'un changement du lieu de vie de l'enfant et une prise en charge par la mère, qui poserait de délicats problèmes eu égard à la situation et à la santé précaire de cette dernière, serait préjudiciable à l'enfant, pour qui la stabilité du milieu social et familial actuel était déterminante et commandait le maintien du statu quo (arrêt attaqué, consid. 2 p. 4/5). b) Pour ce qui est de la contribution d'entretien réclamée par la défenderesse, la cour cantonale a constaté en fait que les parties percevaient chacun une rente AI de 1'330 fr. et une rente complémentaire de 824 fr. pour l'enfant A.________, le demandeur réalisant en sus, mais de manière irrégulière, des gains accessoires en effectuant de petits travaux pour un montant avoisinant 6'000 fr. par an. Elle a considéré que dès lors que le demandeur réalisait des gains correspondant au minimum vital ou le dépassant de peu, il ne pouvait être exigé de lui qu'il verse une contribution à l'entretien de son ex-épouse sur la base de l' art. 125 CC (arrêt attaqué, consid. 4 p. 5/6). c) S'agissant du montant de 80'000 fr. réclamé par la défenderesse au titre de la liquidation du régime matrimonial, les juges cantonaux ont retenu en fait qu'au moment de la litispendance, le demandeur disposait d'un capital de 68'014 fr. représentant le solde de l'indemnité en capital de 1'036'427 fr. versée en 1981 par la Zurich Assurances pour couvrir une perte de gain future - capital qui correspondait alors à une rente annuelle de 44'291 fr. - ainsi que de la maison familiale franche de dettes, dont la valeur vénale avait été fixée par expertise à 300'000 fr. Dès lors que la valeur capitalisée de la rente qui eût appartenu au demandeur à la dissolution du régime matrimonial - valeur qui devait être comptée dans les biens propres du demandeur en application de l' art. 207 al. 2 CC - était nettement supérieure au solde des biens restant au demandeur à la litispendance (368'000 fr.), l'autorité cantonale a considéré que la défenderesse ne pouvait déduire aucun droit du capital restant à son époux sur les sommes versées par la Zurich Assurances (arrêt attaqué, consid. 5 p. 6/7).</w:t>
      </w:r>
    </w:p>
    <w:p>
      <w:r>
        <w:rPr>
          <w:b/>
        </w:rPr>
        <w:t>E. 4</w:t>
      </w:r>
    </w:p>
    <w:p>
      <w:r>
        <w:t>Il résulte de ce qui précède que le recours ne peut qu'être rejeté dans la faible mesure où il est recevable, ce qui entraîne la confirmation de l'arrêt attaqué. La requête d'assistance judiciaire fondée sur l' art. 152 OJ doit également être rejetée; le recours apparaissait en effet d'emblée voué à l'échec au sens de cette disposition, dès lors qu'il doit être rejeté, en tant qu'il se révèle recevable, dans le cadre de la procédure simplifiée de l' art. 36a OJ (cf. Poudret/Sandoz-Monod, Commentaire de la loi fédérale d'organisation judiciaire, vol. V, Berne 1992, n. 5 ad art. 152 OJ ). La recourante, qui succombe, supportera ainsi les frais judiciaires, conformément à l' art. 156 al. 1 OJ . Il n'y a en revanche pas lieu d'allouer de dépens (cf. art. 159 al. 1 OJ ) dès lors que l'intimé n'a pas été invité à procéder et n'a en conséquence pas assumé de frais en relation avec la procédure devant le Tribunal fédéral (Poudret/Sandoz-Monod, op. cit. ,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