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5C.146/2000 vom 15. Februar 2001</w:t>
      </w:r>
    </w:p>
    <w:p>
      <w:r>
        <w:t>Bundesgericht, 2001-02-15, DE</w:t>
      </w:r>
    </w:p>
    <w:p>
      <w:r>
        <w:rPr>
          <w:b/>
        </w:rPr>
        <w:t xml:space="preserve">Quelle: </w:t>
      </w:r>
      <w:r>
        <w:t>https://mcp.opencaselaw.ch/entscheid/bger_5C.146_2000</w:t>
      </w:r>
    </w:p>
    <w:p>
      <w:r>
        <w:t>FR: TF 5C.146/2000 du 15 février 2001</w:t>
      </w:r>
    </w:p>
    <w:p>
      <w:r>
        <w:t>IT: TF 5C.146/2000 del 15 febbraio 2001</w:t>
      </w:r>
    </w:p>
    <w:p>
      <w:pPr>
        <w:pStyle w:val="Heading2"/>
      </w:pPr>
      <w:r>
        <w:t>Regeste</w:t>
      </w:r>
    </w:p>
    <w:p>
      <w:r>
        <w:t>Vertragsrecht</w:t>
      </w:r>
    </w:p>
    <w:p>
      <w:pPr>
        <w:pStyle w:val="Heading2"/>
      </w:pPr>
      <w:r>
        <w:t>Erwägungen</w:t>
      </w:r>
    </w:p>
    <w:p>
      <w:r>
        <w:rPr>
          <w:b/>
        </w:rPr>
        <w:t>E. 1</w:t>
      </w:r>
    </w:p>
    <w:p>
      <w:r>
        <w:t>Nebst der Zusprechung der vollen Entschädigung für das gestohlene Fahrzeug (Fr. 123'290.--) beantragt die Klägerin die Rückweisung der Sache, was die im Fahrzeug mitgeführten und gestohlenen Gegenstände angeht. Da das Obergericht deren Vorhandensein im gestohlenen Fahrzeug als nicht nachgewiesen betrachtet hat, könnte das Bundesgericht selbst bei Gutheissung der Berufung in diesem Punkt kein Sachurteil fällen; der blosse Rückweisungsantrag für diesen Teil der Klage genügt ( Art. 55 Abs. 1 lit. b OG ; zuletzt: BGE 125 III 412 E. 1b S. 414). Die Beklagte vertritt die Ansicht, die Klägerin hätte das erste Berufungsurteil, in dem das Obergericht insbesondere die Grobfahrlässigkeit und den massgebenden Kürzungssatz festgestellt habe, mit eidgenössischer Berufung anfechten können und müssen, weil die Voraussetzungen dazu gemäss Art. 50 Abs. 1 OG erfüllt gewesen seien. Die Berufung gegen den Endentscheid bezieht sich indessen grundsätzlich auch auf die ihm vorausgegangenen Entscheide; im Gegensatz zu Zwischenentscheiden über die Zuständigkeit, die nach Art. 49 OG schon früher weiterziehbar waren, besteht keine Pflicht zur selbstständigen Anfechtung anderer Zwischenentscheide, auch wenn sie die Voraussetzungen gemäss Art. 50 OG dazu an sich erfüllten (vgl. Art. 48 Abs. 3 OG ; zuletzt: BGE 122 III 254 E. 2a S. 255). Die weiteren Berufungsvoraussetzungen geben zu keinen Bemerkungen Anlass. Auf die Abgrenzung von Tat- und Rechtsfrage und auf vereinzelte Sachverhaltsrügen wird bei der Beurteilung der Berufungsgründe zurückzukommen sein.</w:t>
      </w:r>
    </w:p>
    <w:p>
      <w:r>
        <w:rPr>
          <w:b/>
        </w:rPr>
        <w:t>E. 2</w:t>
      </w:r>
    </w:p>
    <w:p>
      <w:r>
        <w:t>Gemäss Art. 40 des Bundesgesetzes über den Versicherungsvertrag vom 2. April 1908 (SR 221. 229.1, VVG) ist der Versicherer gegenüber dem Anspruchsberechtigten an den Vertrag nicht gebunden, wenn der Anspruchsberechtigte oder sein Vertreter Tatsachen, welche die Leistungspflicht des Versicherers ausschliessen oder mindern würden, zum Zwecke der Täuschung unrichtig mitgeteilt hat oder wenn er die ihm nach Massgabe des Art. 39 VVG obliegenden Mitteilungen zum Zwecke der Täuschung zu spät oder gar nicht gemacht hat. Die obergerichtliche Beurteilung des geltend gemachten zivilrechtlichen Versicherungsbetrugs kann nicht beanstandet werden. a) Art. 40 VVG setzt in objektiver Hinsicht voraus, dass unrichtige Angaben über die Schadensumstände oder über den Wert der versicherten Gegenstände gemacht werden, und in subjektiver Hinsicht, dass der Anspruchsberechtigte die unrichtigen Angaben zum Zweck der Täuschung gemacht hat, um dadurch eine höhere Entschädigung zu erhalten (Moritz Kuhn, Grundzüge des Schweizerischen Privatversicherungsrechts, Zürich 1989, S. 148 f.; Thomas Pfister, Versicherungsbetrug: zivilrechtliche Aspekte, in: Schaden - Haftung - Versicherung, Basel 1999, S. 1051 ff., S. 1062 N. 21.25-26). Für beide Tatbestandsmerkmale des betrügerisch begründeten Versicherungsanspruchs bzw. für die darauf gründende Rechtsbehauptung, nicht an den Vertrag gebunden zu sein, trifft den Versicherer die Beweislast (Hans Roelli/Max Keller, Kommentar zum Schweizerischen Bundesgesetz über den Versicherungsvertrag, I, 2.A. Bern 1968, S. 584; Bernard Viret, Droit des assurances privées, 3.A. Zürich 1991, S. 143). b) Unter Verweis auf sein erstes Urteil hat das Obergericht festgehalten, dass einerseits die Behauptung der falschen Preisangabe durch die Klägerin von der Beklagten in keiner Weise substantiiert worden sei. Zwar treffe es zu, dass die entsprechenden Angaben reichlich unklar seien; dass sie tatsächlich falsch gewesen wären, sei indessen nicht belegt. Weder in Zusammenhang mit den diversen, den Wert des Mercedes betreffenden Belegen noch in Zusammenhang mit den im Wagen befindlichen Gegenständen und technischen Geräten könne eine zusammenhängende Täuschungsabsicht von A.________ angenommen werden. Das Obergericht hat fortgefahren, dazu seien im Rahmen des Beweisverfahrens keine neuen Erkenntnisse gewonnen worden. Unter Hinweis auf den Kaufvertrag vom 11. März 1985, auf den Leasingvertrag vom 17. März 1987 und auf die Aussage des Zeugen G.________ ist es davon ausgegangen, dass die Täuschungsabsicht nicht erstellt sei, solange die Verhältnisse und Umstände über die Zahlungsmodalitäten beim Kauf des Mercedes derart unklar seien (E. 4b und E. 4c/aa S. 10 f. des Urteils vom 30. März 1999). c) Ihrer Beweisführungslast hat die Beklagte auf Grund der tatsächlichen Feststellungen des Obergerichts nicht genügt. Soweit sie aus den Ungereimtheiten im Zusammenhang mit dem Kauf- und dem Leasingvertrag ableitet, A.________ habe nicht bloss unklare, sondern falsche Angaben gemacht, widerspricht sie der gegenteiligen Beweiswürdigung des Obergerichts, die im Berufungsverfahren nicht angefochten werden kann (zuletzt: BGE 126 III 189 E. 2a Abs. 3 S. 191; 125 III 78 E. 3a S. 79). Die Klägerin verweist darauf in ihrer Anschlussberufungsantwort zu Recht. Soweit die Beklagte aus einer objektiv übersetzten Bezifferung des Schadens direkt auf die Täuschungsabsicht schliesst, kann ihr nicht beigepflichtet werden (vgl. die Nachweise bei Pfister, a.a.O., S. 1062 N. 21.27). Es genügt nicht, dass A.________ nur den Leasingvertrag mit dem darin angegebenen höheren Kaufpreis eingereicht hat; erforderlich wäre vielmehr gewesen, dass er gefälschte Belege eingereicht oder tatsachenwidrig behauptet hätte, es gäbe keine Belege. Solches unterstellt die Beklagte ihm selber nicht, und rechtlich Abweichendes kann aus dem von ihr zitierten nicht veröffentlichten Urteil des Bundesgerichts vom 21. Dezember 1994 i.S. S. AG gegen W. Versicherungsgesellschaft (5C. 73/1994) nicht geschlossen werden. In der betreffenden Sache stand für das Bundesgericht verbindlich fest, dass die Versicherungsnehmerin von zwei Rechnungen nur die höhere der Versicherungsgesellschaft zur Begründung des Versicherungsanspruchs eingereicht hatte und das Schriftstück zudem eingestandenermassen erst im Hinblick auf diese Begründung erstellt worden war (E. 2a). Dem Anschlussberufungsantrag der Beklagten, die Klage vollumfänglich abzuweisen, kann aus den dargelegten Gründen nicht entsprochen werden.</w:t>
      </w:r>
    </w:p>
    <w:p>
      <w:r>
        <w:rPr>
          <w:b/>
        </w:rPr>
        <w:t>E. 3</w:t>
      </w:r>
    </w:p>
    <w:p>
      <w:r>
        <w:t>A. Zürich 2000, § 6 N. 27 S. 68). e) Im Ergebnis ist auch das Obergericht davon ausgegangen, dass das blosse Parkieren eines Luxusfahrzeugs in Mailand unter den gezeigten Umständen nicht als grobfahrlässig angesehen werden kann. Es hat A.________ bei seinen früheren Erfahrungen mit einem Luxusfahrzeug in Mailand behaftet, die konkreten Verhältnisse berücksichtigt und deshalb Grobfahrlässigkeit im Sinne von Art. 14 Abs. 2 VVG bejaht. aa) Vom massgebenden Fahrlässigkeitsbegriff her gesehen (E. 3c Abs. 2 soeben) hat das Obergericht zu Recht angenommen, dass die Umstände des Einzelfalls eine Rolle spielen. Ihre rechtliche Bewertung darf aber nicht durch den behaupteten zivilrechtlichen Versicherungsbetrug beeinflusst werden, zumal dieser vom Versicherer nicht bewiesen worden ist (E. 2 hiervor). So unglaublich und nachgerade inszeniert der Fahrzeugdiebstahl auch wirkt und so unwahrscheinlich ein Diebstahlschaden unter den gegebenen Umständen auch anmutet, muss dennoch davon ausgegangen werden, dass er sich nicht mit Wissen und Wollen von A.________ und/oder seiner Begleiter ereignet hat. In diesem Sinne hat nach allgemeinen Grundsätzen zudem ausser Betracht zu bleiben, was sich bloss "möglicherweise" zugetragen hat, wie das von der Beklagten behauptete, aber offenbar nicht bewiesene ordnungswidrige Parkieren durch A.________ (vgl. dagegen E. 3d/dd S. 14 des Urteils vom 26. März 1996). bb) Das Obergericht hat zunächst wesentlich darauf abgestellt, dass A.________ um die Gefahren für parkierte Luxusfahrzeuge in Mailand wusste, nachdem ihm im Jahre 1982 ebenfalls in Mailand ein BMW gestohlen worden war. In der rechtlichen Würdigung darf diese Tatsache nicht überbewertet werden, zumal die grossen Risiken für parkierte Fahrzeuge der Luxusklasse in Mailand - wie erwähnt (E. 3d Abs. 2 soeben) - offenbar allbekannt sind und gemäss der zitierten Besprechung eines kantonalen Urteils (E. 3d Abs. 3 soeben) in Grossstädten Italiens gar als gerichtsnotorisch gelten. Gewiss prägt sich aus eigener Erfahrung Erlebtes tiefer ein als virtuell Bekanntes, doch begründet ein einzelner Vorfall, über dessen Hergang nichts Näheres festgestellt ist, ohnehin kein Indiz für ein grobfahrlässiges Handeln durch A.________ (anders für auf bestimmtes Verhalten zurückzuführende wiederholte Schädigungen: Heinz Rey, Ausservertragliches Haftpflichtrecht, 2.A. Zürich 1998, N. 879 S. 193). cc) Nach den obergerichtlichen Feststellungen hat die Klägerin eingeräumt, dass A.________ nach dem Fahrzeugdiebstahl von 1982 von Seiten der Beklagten darauf aufmerksam gemacht worden sei, die damals getroffenen Sicherheitsmassnahmen würden als unzutreffend eingeschätzt (E. 3d/cc S. 14). Unbeantwortet ist im kantonalen Verfahren die Frage geblieben, weshalb die Ehefrau von A.________ entgegen den ansonsten gepflegten Vorsichtsmassnahmen nicht im abgestellten Fahrzeug wartete (E. 3d/cc S. 14). Das Obergericht hat es ferner als grobfahrlässig gewertet, dass A.________ sein Fahrzeug unbeaufsichtigt stehen liess (E. 3d/dd S. 15 des Urteils vom 26. März 1996). Wo diese besonderen Obliegenheiten oder Sorgfaltspflichten vereinbart worden wären (vgl. Art. 29 VVG ), lässt sich dem obergerichtlichen Urteil nicht entnehmen. Kann das Verhalten von A.________ als solches aber nicht als grobfahrlässig bewertet werden (E. 3d soeben), so wird es dies auch nicht durch die Unterlassung allenfalls individueller Vorkehren zur Vermeidung eines Diebstahls. Eine Versicherung wird ja gerade deshalb abgeschlossen, weil der Versicherungsnehmer der ständigen Beunruhigung, der ängstlichen Sorge für die Erhaltung von Leben und Gut enthoben sein möchte; der Versicherungsvertrag schliesst insoweit wesensgemäss eine Verpflichtung des Versicherungsnehmers zu besonderer Sorgfalt grundsätzlich aus (vgl. Roelli/Keller, a.a.O., S. 230). dd) Schliesslich könnte eingewendet werden, A.________ habe sich grobfahrlässig verhalten, indem er ein Fahrzeug unbeaufsichtigt stehen liess, das angeblich mit Material im Werte von mehreren tausend Franken beladen war. Indessen fehlen hierüber entsprechende Tatsachenfeststellungen des Obergerichts, namentlich dazu, dass A.________ wertvolles Material sichtbar und damit gewissermassen als Blickfang im Fahrzeuginnern verstaut haben könnte (vgl. zur einschlägigen kantonalen Rechtsprechung: Benoît Carron, La loi fédérale sur le contrat d'assurance. Exposé systématique de jurisprudence, Fribourg 1997, N. 152 S. 53 und N. 171 S. 59; Olivier Carré, Loi fédérale sur le contrat d'assurance. Edition annotée, Lausanne 2000, S. 186, rechte Spalte). ee) Zusammengefasst kann auch in Berücksichtigung der konkreten Verhältnisse des zu beurteilenden Falls nicht von Grobfahrlässigkeit ausgegangen werden. Die gegenteilige Würdigung des Obergerichts ist im Ergebnis unhaltbar und eine Kürzung der Versicherungsleistungen damit unzulässig. Der Wert des gestohlenen Fahrzeugs beläuft sich unangefochten auf Fr. 123'290.--. In diesem Umfang nebst Zins zu 5 % seit dem</w:t>
      </w:r>
    </w:p>
    <w:p>
      <w:r>
        <w:rPr>
          <w:b/>
        </w:rPr>
        <w:t>E. 5</w:t>
      </w:r>
    </w:p>
    <w:p>
      <w:r>
        <w:t>Die Berufung ist aus den dargelegten Gründen teilweise gutzuheissen, während die Anschlussberufung erfolglos bleibt. Da die Beklagte jegliche Schadenersatzpflicht hartnäckig bestreitet, die Klägerin aber immerhin die geforderte Entschädigung für das Fahrzeug erlangt, rechtfertigt es sich, die Verfahrenskosten der Beklagten aufzuerlegen und sie zu einer angemessenen Parteientschädigung an die Klägerin zu verurteilen; dass diese mit ihren Begehren auf Schadenersatz für die im Fahrzeug angeblich mitgeführten Gegenstände unterliegt, fällt nicht ins Gewicht, konnte sie sich doch in guten Treuen veranlasst sehen, auch diesen Punkt mit Berufung aufzugreifen ( Art. 156 Abs. 3 und Art. 159 Abs. 3 OG ; BGE 113 II 323 E. 9c letzter Absatz und E. 9d S. 343 f.; 112 V 81 E. 4 S. 86; Poudret/Sandoz-Monod, Commentaire de la loi fédérale d'organisation judiciaire, Bern 1992, N. 4, je zu Art. 156 und Art. 159 OG , S. 147 f. und S. 163 f. mit Nachweisen). Über die Kosten- und Entschädigungsfolgen für das kantonale Verfahren wird das Obergericht neu zu entscheiden haben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