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5C.145/2001 vom 10. Januar 2002</w:t>
      </w:r>
    </w:p>
    <w:p>
      <w:r>
        <w:t>Bundesgericht, 2002-01-10, DE</w:t>
      </w:r>
    </w:p>
    <w:p>
      <w:r>
        <w:rPr>
          <w:b/>
        </w:rPr>
        <w:t xml:space="preserve">Quelle: </w:t>
      </w:r>
      <w:r>
        <w:t>https://mcp.opencaselaw.ch/entscheid/bger_5C.145_2001</w:t>
      </w:r>
    </w:p>
    <w:p>
      <w:r>
        <w:t>FR: TF 5C.145/2001 du 10 janvier 2002</w:t>
      </w:r>
    </w:p>
    <w:p>
      <w:r>
        <w:t>IT: TF 5C.145/2001 del 10 gennaio 2002</w:t>
      </w:r>
    </w:p>
    <w:p>
      <w:pPr>
        <w:pStyle w:val="Heading2"/>
      </w:pPr>
      <w:r>
        <w:t>Regeste</w:t>
      </w:r>
    </w:p>
    <w:p>
      <w:r>
        <w:t>Sachenrecht</w:t>
      </w:r>
    </w:p>
    <w:p>
      <w:pPr>
        <w:pStyle w:val="Heading2"/>
      </w:pPr>
      <w:r>
        <w:t>Erwägungen</w:t>
      </w:r>
    </w:p>
    <w:p>
      <w:r>
        <w:rPr>
          <w:b/>
        </w:rPr>
        <w:t>E. 2</w:t>
      </w:r>
    </w:p>
    <w:p>
      <w:r>
        <w:t>a) Gemäss Art. 961 Abs. 3 ZGB hat der Richter die Wirkungen einer vorläufigen Eintragung im Grundbuch zeitlich sowie sachlich genau festzulegen und nötigenfalls zur gerichtlichen Geltendmachung der Ansprüche eine Frist anzusetzen. Mit dieser Fristansetzung will verhindert werden, dass die durch den provisorischen Eintrag geschaffene Rechtsunsicherheit zu lange dauert. Es geht unter anderem auch um das Interesse des Beklagten, nur während einer bestimmten Zeitspanne mit der rechtlichen Geltendmachung des betreffenden Anspruchs rechnen zu müssen (vgl. BGE 89 II 304 E. 6 S. 309 unten). Der vorläufig Eingetragene soll dazu verhalten werden, die zur Erwirkung eines definitiven Eintrags notwendigen Schritte rasch zu unternehmen. Dieses Ziel ist erreicht, wenn der Fortbestand des bewilligten vorläufigen Eintrags an die Bedingung geknüpft wird, dass das Verfahren auf definitive Eintragung innerhalb einer bestimmten Frist angehoben werde ( BGE 101 II 63 E. 4 S. 67; 66 II 105 E. 1 S. 108). Aus dieser Sicht genügt es, dass der vorläufig Eingetragene die Prozesshandlung vornimmt, die das Verfahren betreffend Definitiverklärung des Bauhandwerkerpfandrechts in Gang bringt. Dies geschieht durch die Klageanhebung. b) Das Bundesgericht hat in einem Urteil, dem ebenfalls Art. 961 Abs. 3 ZGB zugrunde gelegen hatte, ausgeführt, als Klageanhebung im Sinne des Bundesrechts gelte auch die Einleitung des Sühnverfahrens, vorausgesetzt, das kantonale Verfahrensrecht bestimme, dass der Sühnbeamte im Falle eines Scheiterns der Einigungsbemühungen die Streitsache von Amtes wegen an den zuständigen Richter weiterzuleiten habe, oder das Sühn- und das eigentliche Gerichtsverfahren seien in der Weise miteinander verbunden, dass der Kläger nach Abschluss des Sühnverfahrens die Sache innert einer bestimmten Verwirkungsfrist vor den Richter zu tragen habe. Wo das kantonale Recht eine solche Verknüpfung der beiden Verfahren vorsehe, würden sich die für die Weiterleitung geltende Frist wie auch die Form nach dem kantonalen Verfahrensrecht bestimmen ( BGE 82 II 587 E. 2 S. 590; vgl. auch BGE 89 II 304 E. 4 S. 307). An dieser Rechtsprechung ist festzuhalten. Für den Kanton Zürich erklären Frank/Sträuli/Messmer (Kommentar zur zürcherischen Zivilprozessordnung,</w:t>
      </w:r>
    </w:p>
    <w:p>
      <w:r>
        <w:rPr>
          <w:b/>
        </w:rPr>
        <w:t>E. 3</w:t>
      </w:r>
    </w:p>
    <w:p>
      <w:r>
        <w:t>Wird nach dem Gesagten die Frist zur Prosequierung der hier in Frage stehenden Klage vom kantonalen Verfahrensrecht beherrscht, gelangen folgerichtig auch dessen Bestimmungen über die Gerichtsferien zur Anwendung. Dem hat das Obergericht auf Grund seiner abweichenden Betrachtungsweise keine Rechnung getragen. Der angefochtene Entscheid ist daher aufzuheben, und die Sache ist an die Vorinstanz zurückzuweisen. Diese wird zunächst die von ihr letztlich offen gelassene Frage zu prüfen haben, ob der Friedensrichter fristgerecht angerufen worden sei. Sollte dies der Fall sein, hätte sie alsdann abzuklären, ob die Klage unter Berücksichtigung der von der Klägerin angerufenen kantonalrechtlichen Bestimmungen zum Stillstand von Fristen rechtzeitig prosequiert worden sei. Gegebenenfalls wird sie schliesslich die Klage an die Hand zu nehmen und weiter zu behandeln haben.</w:t>
      </w:r>
    </w:p>
    <w:p>
      <w:r>
        <w:rPr>
          <w:b/>
        </w:rPr>
        <w:t>E. 4</w:t>
      </w:r>
    </w:p>
    <w:p>
      <w:r>
        <w:t>Bei diesem Ausgang des Verfahrens ist die Gerichtsgebühr dem Beklagten aufzuerlegen ( Art. 156 Abs. 1 OG ). Dieser ist ausserdem zu verpflichten, die Klägerin für ihre Umtriebe im bundesgerichtlichen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