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5C.134/2005 vom 30. September 2005</w:t>
      </w:r>
    </w:p>
    <w:p>
      <w:r>
        <w:t>Bundesgericht, 2005-09-30, FR</w:t>
      </w:r>
    </w:p>
    <w:p>
      <w:r>
        <w:rPr>
          <w:b/>
        </w:rPr>
        <w:t xml:space="preserve">Quelle: </w:t>
      </w:r>
      <w:r>
        <w:t>https://mcp.opencaselaw.ch/entscheid/bger_5C.134_2005</w:t>
      </w:r>
    </w:p>
    <w:p>
      <w:r>
        <w:t>FR: TF 5C.134/2005 du 30 septembre 2005</w:t>
      </w:r>
    </w:p>
    <w:p>
      <w:r>
        <w:t>IT: TF 5C.134/2005 del 30 settembre 2005</w:t>
      </w:r>
    </w:p>
    <w:p>
      <w:pPr>
        <w:pStyle w:val="Heading2"/>
      </w:pPr>
      <w:r>
        <w:t>Erwägungen</w:t>
      </w:r>
    </w:p>
    <w:p>
      <w:r>
        <w:rPr>
          <w:b/>
        </w:rPr>
        <w:t>E. 1</w:t>
      </w:r>
    </w:p>
    <w:p>
      <w:r>
        <w:t>Le Tribunal fédéral examine d'office et librement la recevabilité des recours qui lui sont soumis ( ATF 131 II 58 consid. 1 p. 60; 130 II 65 consid. 1 p. 67).</w:t>
      </w:r>
    </w:p>
    <w:p>
      <w:r>
        <w:rPr>
          <w:b/>
        </w:rPr>
        <w:t>E. 1.1</w:t>
      </w:r>
    </w:p>
    <w:p>
      <w:r>
        <w:t>L'action paulienne de l' art. 286 LP est une action du droit des poursuites qui a un effet réflexe sur le droit matériel; il ne s'agit pas d'une contestation civile. Toutefois, la jurisprudence admet la recevabilité du recours en réforme en cette matière pour autant que la valeur litigieuse de l' art. 46 OJ soit atteinte ( ATF 130 III 235 consid. 1; 93 II 436 consid. 1 p. 437; Pra 2002 n° 89 p. 508). Tel est le cas en l'espèce puisque la valeur litigieuse dépasse 2'000'000 fr. Pour le surplus, le recours a été interjeté en temps utile et il est dirigé contre une décision finale prise par l'autorité suprême du canton, de sorte qu'il est recevable au regard des art. 46, 48 al. 1 et 54 al. 1 OJ.</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t>Par certains de leurs allégués, les recourantes s'en prennent aux constatations de fait de l'arrêt attaqué: ainsi lorsqu'elles laissent entendre que C.________ aurait avancé des fonds à X.________ SA avant que celle-ci leur concède les crédits en cause ou lorsqu'elles affirment qu'elles ont subi des dommages, que X.________ SA aurait reçu des contre-prestations suite à l'abandon de créances ou que les créances en cause auraient été abandonnées le 30 octobre 1998 déjà. Dans la mesure où les recourantes font valoir que lesdites constatations de fait violent des dispositions de preuve au sens de l' art. 43 al. 3 OJ , leur grief est irrecevable faute par elles de préciser les règles fédérales de preuve prétendument violées. Dès lors, pour le surplus, qu'elles ont soulevé les mêmes griefs dans leur recours de droit public, ceux-ci ont été traités dans le cadre dudit recours.</w:t>
      </w:r>
    </w:p>
    <w:p>
      <w:r>
        <w:rPr>
          <w:b/>
        </w:rPr>
        <w:t>E. 1.3</w:t>
      </w:r>
    </w:p>
    <w:p>
      <w:r>
        <w:t>La partie qui entend obtenir le renvoi de l'affaire à l'instance cantonale sur la base de l' art. 64 OJ doit démontrer que le fait omis est pertinent, qu'il a été régulièrement allégué devant les juridictions cantonales et que l'allégation était assortie d'une offre de preuve en bonne et due forme ( ATF 119 II 353 consid. 5c/aa p. 357 et les arrêts cités). Les recourantes soutiennent que l'état de fait de l'arrêt attaqué est manifestement incomplet et ne permet pas au Tribunal fédéral de statuer. Elles allèguent de très nombreux faits qui ne ressortent pas de l'arrêt attaqué. Pour certains de ces nova elles indiquent des preuves. Elles ne prétendent pas, ni ne prouvent a fortiori, qu'elles ont allégué ces faits régulièrement devant les instances cantonales et offert les preuves y relatives en bonne et due forme. Les faits nouveaux ainsi que la conclusion subsidiaire en renvoi de l'affaire à l'autorité cantonale sont dès lors irrecevables. La cour de céans fondera son arrêt sur l'état de fait retenu par l'autorité cantonale.</w:t>
      </w:r>
    </w:p>
    <w:p>
      <w:r>
        <w:rPr>
          <w:b/>
        </w:rPr>
        <w:t>E. 2</w:t>
      </w:r>
    </w:p>
    <w:p>
      <w:r>
        <w:t>Sur le fond, les recourantes se prévalent essentiellement d'une violation des art. 8 CC et 286 LP. Elles invoquent également, pêle-mêle d'autres violations, comme celles de l' art. 2 CC et du droit à une motivation.</w:t>
      </w:r>
    </w:p>
    <w:p>
      <w:r>
        <w:rPr>
          <w:b/>
        </w:rPr>
        <w:t>E. 2.1</w:t>
      </w:r>
    </w:p>
    <w:p>
      <w:r>
        <w:t>S'agissant de ce dernier grief, tiré de la violation du droit d'être entendu garanti par la Constitution ( art. 29 al. 2 Cst. ), il est irrecevable, car il ne peut être soulevé que dans un recours de droit public ( art. 43 al. 1 OJ ).</w:t>
      </w:r>
    </w:p>
    <w:p>
      <w:r>
        <w:rPr>
          <w:b/>
        </w:rPr>
        <w:t>E. 2.2</w:t>
      </w:r>
    </w:p>
    <w:p>
      <w:r>
        <w:t>A l'appui de leur grief de violation de l' art. 8 CC , les recourantes reprochent à l'autorité cantonale de ne pas avoir admis, dans ses considérants en droit, que les sociétés mère et fille étaient liées par une convention de fiducie.</w:t>
      </w:r>
    </w:p>
    <w:p>
      <w:r>
        <w:t>La Cour de justice a retenu que la faillie n'avait perçu aucune avance de fonds de sa société mère, ce qui excluait le prétendu caractère fiduciaire des prêts. Ce faisant, elle a qualifié juridiquement des faits, ce qui relève du droit ( art. 43 al. 4 OJ ). Or, en appréciant juridiquement les faits, la cour cantonale n'a pas pu violer l' art. 8 CC . Le grief de violation de cette disposition devient d'ailleurs sans objet lorsque, comme en l'espèce, le juge acquiert la conviction que la réalité d'un fait ou l'inexistence d'un fait est établie ( ATF 119 III 60 consid. 2c p. 63; 118 II 142 consid. 3a p. 147).</w:t>
      </w:r>
    </w:p>
    <w:p>
      <w:r>
        <w:rPr>
          <w:b/>
        </w:rPr>
        <w:t>E. 3</w:t>
      </w:r>
    </w:p>
    <w:p>
      <w:r>
        <w:t>Sous l'angle de l' art. 286 LP , les recourantes font valoir que la masse en faillite de X.________ SA n'est pas titulaire du droit qu'elle invoque, que le délai d'une année prévu par cette disposition a été dépassé et que l'abandon des créances s'est fait en échange d'une contre-prestation.</w:t>
      </w:r>
    </w:p>
    <w:p>
      <w:r>
        <w:rPr>
          <w:b/>
        </w:rPr>
        <w:t>E. 3.1</w:t>
      </w:r>
    </w:p>
    <w:p>
      <w:r>
        <w:t>Aux termes de l' art. 286 al. 1 LP , toute donation et toute disposition à titre gratuit, à l'exception des cadeaux usuels, sont révocables si elles ont été faites par le débiteur dans l'année qui précède la saisie ou la déclaration de faillite. Selon la jurisprudence, l' art. 286 LP ne se rapporte pas seulement aux véritables donations; il se rapporte aussi aux actes de disposition gratuits de toute sorte et en outre aux actes juridiques dans lesquels les prestations réciproques sont disproportionnées et cela au détriment du débiteur. Un acte de disposition est gratuit au sens de l' art. 286 al. 1 LP lorsque, sans recevoir de contre-prestation, le débiteur effectue une prestation qu'il n'était pas juridiquement tenu d'accomplir ( ATF 95 III 47 consid. 2).</w:t>
      </w:r>
    </w:p>
    <w:p>
      <w:r>
        <w:t>Pour le calcul du délai d'un an - rétrograde à compter de l'ouverture de la faillite - est décisive la date où les effets de l'acte se sont produits, soit au moment où l'acte de disposition à titre gratuit a été exécuté et que l'actif est sorti du patrimoine du débiteur (Adrian Staehelin, Kommentar zum Bundesgesetz über Schuldbetreibung und Konkurs, n. 12 ad art. 286 LP ).</w:t>
      </w:r>
    </w:p>
    <w:p>
      <w:r>
        <w:rPr>
          <w:b/>
        </w:rPr>
        <w:t>E. 3.2</w:t>
      </w:r>
    </w:p>
    <w:p>
      <w:r>
        <w:t>Selon l'arrêt attaqué, X.________ SA a prêté 1'200'000 USD à B.________ et 800'000 USD à A.________; elle était donc titulaire des créances en remboursement desdites sommes; le 4 octobre 1999, elle s'est engagée à abandonner ces créances en cas d'inexécution par C.________ de ses obligations contractuelles envers les sociétés précitées; elle a effectivement abandonné lesdites créances le 16 février 2000, tout en les comptabilisant dans son compte de pertes et profits avec effet rétroactif au 1er octobre 1999; la faillite de X.________ SA ayant été prononcée le 22 mai 2000, l'abandon des créances a ainsi eu lieu dans l'année avant l'ouverture de la faillite; enfin, les recourantes ont expressément admis n'avoir pas fourni de contre-prestations à X.________ SA.</w:t>
      </w:r>
    </w:p>
    <w:p>
      <w:r>
        <w:rPr>
          <w:b/>
        </w:rPr>
        <w:t>E. 3.3</w:t>
      </w:r>
    </w:p>
    <w:p>
      <w:r>
        <w:t>Lorsqu'elles soutiennent que X.________ SA, société sans pouvoir décisionnel, n'avait pas d'indépendance juridique par rapport à C.________, que les prêts étaient fiduciaires et que dans la comptabilité de X.________ SA il s'agissait d'une opération blanche, que le titulaire du droit au remboursement était donc C.________ et que, partant, c'est contre cette société qu'il y aurait la possibilité d'invoquer la révocation, les recourantes se basent sur un autre état de fait que celui retenu par la cour cantonale.</w:t>
      </w:r>
    </w:p>
    <w:p>
      <w:r>
        <w:t>Dès lors qu'il est établi en fait que l'abandon de créances est intervenu sans contre-prestation de la part des sociétés turques et qu'il ne résulte pas du dossier que X.________ SA aurait été juridiquement tenue envers ces sociétés d'abandonner ses créances - auquel cas on ne parlerait même pas d'abandon de créances -, il y a acte de disposition à titre gratuit au sens de l' art. 286 al. 1 LP . Lorsqu'elles soutiennent que X.________ SA était tenue d'exécuter les instructions de C.________ et d'abandonner les prêts, les recourantes se trompent sur la nature de l'obligation visée par "une prestation que le débiteur était tenu d'accomplir": il ne s'agit pas, en effet, d'une obligation que X.________ SA aurait dû accomplir sur ordre de C.________, mais d'une obligation qu'en tant que société indépendante elle aurait elle-même contractée, antérieurement à l'acte de disposition, directement à l'égard des sociétés turques; une telle obligation pouvait résulter de l'avenant du 4 octobre 1999 par lequel X.________ SA s'était engagée elle-même.</w:t>
      </w:r>
    </w:p>
    <w:p>
      <w:r>
        <w:t>Contrairement à ce que les recourantes soutiennent, la même exigence d'une contre-prestation s'applique également dans les groupes de sociétés lorsque, comme en l'espèce, les bénéficiaires de l'acte révocable sont des personnes externes au groupe (cf. Henry Peter, L'action révocatoire dans les groupes de sociétés, thèse Genève 1990, p. 50 ss, 75 et 92 ch. 2°).</w:t>
      </w:r>
    </w:p>
    <w:p>
      <w:r>
        <w:t>Enfin, le fait - encore avancé par les recourantes - que l'exécution des contrats du 14 mai 1998 aurait entraîné pour X.________ SA l'obligation de payer le solde du prix et même de financer les deux sociétés turques n'est qu'une hypothèse qui ne s'est pas réalisée et dont on ne peut rien déduire.</w:t>
      </w:r>
    </w:p>
    <w:p>
      <w:r>
        <w:rPr>
          <w:b/>
        </w:rPr>
        <w:t>E. 3.4</w:t>
      </w:r>
    </w:p>
    <w:p>
      <w:r>
        <w:t>En faisant valoir que l'abandon de créances a son origine dans l'avenant du 30 octobre 1998 - et que c'est cette date qui est déterminante -, les recourantes se trompent sur le moment auquel l'acte de disposition a lieu au sens de l' art. 286 al. 1 LP , soit le moment où le débiteur est effectivement appauvri, c'est-à-dire en l'occurrence le 16 février 2000, même si la comptabilisation a eu lieu avec effet rétroactif au 1er octobre 1999. Au demeurant, X.________ SA ne s'est pas engagée par l'avenant en question, mais par l'acte du 4 octobre 1999, qui n'est toutefois pas déterminant pour le délai légal d'une année, mais seulement pour déterminer si l'acte de disposition a été fait à titre gratuit.</w:t>
      </w:r>
    </w:p>
    <w:p>
      <w:r>
        <w:rPr>
          <w:b/>
        </w:rPr>
        <w:t>E. 3.5</w:t>
      </w:r>
    </w:p>
    <w:p>
      <w:r>
        <w:t>Il résulte de ce qui précède que la cour cantonale n'a pas violé l' art. 286 LP en admettant les actions révocatoires introduites par l'intimée.</w:t>
      </w:r>
    </w:p>
    <w:p>
      <w:r>
        <w:rPr>
          <w:b/>
        </w:rPr>
        <w:t>E. 4</w:t>
      </w:r>
    </w:p>
    <w:p>
      <w:r>
        <w:t>Le recours doit par conséquent être rejeté et les recourantes, qui succombent, condamnées au paiement des frais de justice solidairement entre elles ( art. 156 al. 1 et 7 OJ ). Il n'y a pas lieu d'allouer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