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5C.128/2000 vom 25. Juli 2000</w:t>
      </w:r>
    </w:p>
    <w:p>
      <w:r>
        <w:t>Bundesgericht, 2000-07-25, DE</w:t>
      </w:r>
    </w:p>
    <w:p>
      <w:r>
        <w:rPr>
          <w:b/>
        </w:rPr>
        <w:t xml:space="preserve">Quelle: </w:t>
      </w:r>
      <w:r>
        <w:t>https://mcp.opencaselaw.ch/entscheid/bger_5C.128_2000</w:t>
      </w:r>
    </w:p>
    <w:p>
      <w:r>
        <w:t>FR: TF 5C.128/2000 du 25 juillet 2000</w:t>
      </w:r>
    </w:p>
    <w:p>
      <w:r>
        <w:t>IT: TF 5C.128/2000 del 25 luglio 2000</w:t>
      </w:r>
    </w:p>
    <w:p>
      <w:pPr>
        <w:pStyle w:val="Heading2"/>
      </w:pPr>
      <w:r>
        <w:t>Regeste</w:t>
      </w:r>
    </w:p>
    <w:p>
      <w:r>
        <w:t>Familienrecht</w:t>
      </w:r>
    </w:p>
    <w:p>
      <w:pPr>
        <w:pStyle w:val="Heading2"/>
      </w:pPr>
      <w:r>
        <w:t>Erwägungen</w:t>
      </w:r>
    </w:p>
    <w:p>
      <w:r>
        <w:rPr>
          <w:b/>
        </w:rPr>
        <w:t>E. 2</w:t>
      </w:r>
    </w:p>
    <w:p>
      <w:r>
        <w:t>Aufl. Bern 1997, § 4 N. 59, S. 61). Nach dieser Bestimmung hat die Bevormundung am Wohnsitz der zu bevormundenden Person zu erfolgen, wobei sich der Wohnsitz primär nach Art. 23 und 26 ZGB , subsidiär nach Art. 24 ZGB bestimmt. Das gilt auch für Verbeiständete und Verbeiratete, da sie keinen Wohnsitz nach Art. 25 Abs. 2 ZGB am Sitz der Vormundschaftsbehörde haben ( BGE 44 I 61 E. 2 S. 65; Schnyder/Murer, a.a.O, N. 41 zu Art. 376 ZGB ). Massgebend ist schliesslich der Wohnsitz zum Zeitpunkt der Einleitung des Entmündigungsverfahrens. Die zu diesem Zeitpunkt vorhandenen Wohnsitzverhältnisse entscheiden darüber, wo die Vormundschaft errichtet und unter Vorbehalt von Art. 377 ZGB geführt und beendigt wird ( BGE 50 II 95 E. 3 S. 98; 101 II 11 E. 2a; Schnyder/Murer, a.a.O., N. 120 zu Art. 376 ZGB ). Nach dem angefochtenen Entscheid ist erstellt, dass der Berufungskläger bei Einleitung des Entmündigungsverfahrens, das unbestrittenermassen mit der Erteilung des Auftrages an den Experten im Oktober 1997 erfolgt ist, bereits seit langem nicht mehr in der Gemeinde P.________ wohnte (vgl. zum bundesrechtlichen Begriff des Zeitpunktes der Einleitung des Entmündigungsverfahrens: BGE 50 II 95 E. 3 S. 99; Schnyder/ Murer, a.a.O., N. 122 zu Art. 376 ZGB ). Vielmehr ist er im August 1996 mit seiner Lebenspartnerin von P.________ nach L._________ gezogen, wo er nach unbestrittener Auffassung des Obergerichts auch einen neuen Wohnsitz begründet hat. Damit aber war die Vormundschaftsbehörde von P._________ örtlich nicht zuständig, das Entmündigungsverfahren einzuleiten, geschweige denn den Berufungskläger zu entmündigen und zu bevormunden. 3.-War die Vormundschaftsbehörde von P.________ aber nicht zuständig, den Berufungskläger zu entmündigen und die Folgen der Entmündigung zu regeln, so ist die Berufung gutzuheissen und sind der angefochtene Entscheid sowie die Dispositiv-Ziffern 3-7 des Entscheides des Gemeinderates von P._________ als Vormundschaftsbehörde vom 3. Dezember 1999 aufzuheben. Zur Regelung der Kosten und Entschädigungen der kantonalen Verfahren ist die Sache an das Obergericht zurückzuweisen. Der Gemeinderat von P._________ hat nunmehr unverzüglich die Übergabe der Beistandschaft an die Behörde am heutigen Wohnsitz des Berufungsklägers ( Art. 377 Abs. 2 ZGB ) zu beschliessen und durchzuführen (vgl. E. 2b/aa). Dabei bleibt es ihm unbenommen, dieser Behörde unter Hinweis auf das Gutachten die Anordnung einer geeigneteren Massnahme anzuregen. Das Obergericht wird dem Gemeinderat entsprechend Weisung zu erteilen haben.</w:t>
      </w:r>
    </w:p>
    <w:p>
      <w:r>
        <w:rPr>
          <w:b/>
        </w:rPr>
        <w:t>E. 4</w:t>
      </w:r>
    </w:p>
    <w:p>
      <w:r>
        <w:t>Bei diesem Verfahrensausgang ist von einer Gerichtsgebühr abzusehen. Der Kanton Luzern hat nicht in eigener Sache gehandelt und eine Ausnahme vom Grundsatz, wonach ihm in solchen Fällen keine Kosten auferlegt werden dürfen, rechtfertigt sich nicht ( Art. 156 Abs. 2 OG ). Hingegen hat der Kanton den Berufungskläger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