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5C.123/2002 vom 7. August 2002</w:t>
      </w:r>
    </w:p>
    <w:p>
      <w:r>
        <w:t>Bundesgericht, 2002-08-07, DE</w:t>
      </w:r>
    </w:p>
    <w:p>
      <w:r>
        <w:rPr>
          <w:b/>
        </w:rPr>
        <w:t xml:space="preserve">Quelle: </w:t>
      </w:r>
      <w:r>
        <w:t>https://mcp.opencaselaw.ch/entscheid/bger_5C.123_2002</w:t>
      </w:r>
    </w:p>
    <w:p>
      <w:r>
        <w:t>FR: TF 5C.123/2002 du 7 août 2002</w:t>
      </w:r>
    </w:p>
    <w:p>
      <w:r>
        <w:t>IT: TF 5C.123/2002 del 7 agosto 2002</w:t>
      </w:r>
    </w:p>
    <w:p>
      <w:pPr>
        <w:pStyle w:val="Heading2"/>
      </w:pPr>
      <w:r>
        <w:t>Regeste</w:t>
      </w:r>
    </w:p>
    <w:p>
      <w:r>
        <w:t>Sachenrecht</w:t>
      </w:r>
    </w:p>
    <w:p>
      <w:pPr>
        <w:pStyle w:val="Heading2"/>
      </w:pPr>
      <w:r>
        <w:t>Erwägungen</w:t>
      </w:r>
    </w:p>
    <w:p>
      <w:r>
        <w:rPr>
          <w:b/>
        </w:rPr>
        <w:t>E. 1</w:t>
      </w:r>
    </w:p>
    <w:p>
      <w:r>
        <w:t>Das Bundesgericht ist im Berufungsverfahren an die tatsächlichen Feststellungen der letzten kantonalen Instanz gebunden, sofern sie nicht offensichtlich auf Versehen beruhen, unter Verletzung bundesrechtlicher Beweisvorschriften zustande gekommen oder auf Grund prozesskonform vorgebrachter, aber zu Unrecht unberücksichtigt gebliebener Parteivorbringen zu ergänzen sind ( Art. 63 Abs. 2 und Art. 64 OG ; BGE 115 II 484 E. 2a S. 485; 118 II 50 E. 2a S. 52). Entsprechend sind Ausführungen, die sich gegen die tatsächlichen Feststellungen richten, sowie das Vorbringen neuer Tatsachen oder Beweismittel unzulässig ( Art. 55 Abs. 1 lit. c OG ). Die weitläufigen Ausführungen der Beschwerdeführerin zum Sachverhalt sind demnach von vornherein nicht zu hören.</w:t>
      </w:r>
    </w:p>
    <w:p>
      <w:r>
        <w:rPr>
          <w:b/>
        </w:rPr>
        <w:t>E. 2.1</w:t>
      </w:r>
    </w:p>
    <w:p>
      <w:r>
        <w:t>Die Klägerin macht geltend, das Obergericht habe Art. 641 Abs. 2 i.V.m. Art. 930 und 936 ZGB sowie Art. 20 OR falsch angewandt und damit Bundesrecht verletzt. Wer Ware versende, sei zwingend ihr Besitzer. Da sie die fraglichen Pelzwaren in Hong Kong nachweislich verschickt habe, sei ihr Besitz in objektiver Hinsicht bewiesen. Indem sie die Ware der Fur Supply &amp; Trading Ltd. in Rechnung gestellt habe, sei auch ihr subjektiver Besitzwille dokumentiert. Als Besitzerin im Zeitpunkt der Versendung der Pelzwaren dürfe sie die Rechtsvermutung von Art. 930 Abs. 2 ZGB beanspruchen und gestützt hierauf das vorliegende Vindikationsbegehren stellen.</w:t>
      </w:r>
    </w:p>
    <w:p>
      <w:r>
        <w:rPr>
          <w:b/>
        </w:rPr>
        <w:t>E. 2.2</w:t>
      </w:r>
    </w:p>
    <w:p>
      <w:r>
        <w:t>Das Obergericht hat für das Bundesgericht verbindlich festgestellt ( Art. 63 Abs. 2 OG ), der Klägerin sei der Nachweis nicht gelungen, dass die von ihr in Hong Kong versandte Pelzware mit der nunmehr bei der Beklagten herausverlangten identisch sei. Das Bundesgericht hat die dagegen gerichtete staatsrechtliche Beschwerde mit Entscheid heutigen Datums abgewiesen, soweit darauf einzutreten war, und befunden, entgegen der Behauptung der Klägerin habe das Obergericht nicht davon ausgehen dürfen, die Identität der Pelzware sei von der Beklagten unbestritten und damit zugestanden. Fehlt es am Beweis der Warenidentität, spielt es keine Rolle, ob die Klägerin Besitzerin der in Hong Kong aufgegebenen Ware (gewesen) ist oder nicht. Die Rüge, die Vorinstanz habe Art. 930 Abs. 2 und Art. 936 ZGB verletzt, stösst ins Leere und die Berufung ist abzuweisen. Bei diesem Ergebnis kann offen gelassen werden, ob die Berufung nicht ohnehin auch bei nachgewiesener Warenidentität an der fehlenden Darlegung der heutigen Besitzesverhältnisse scheitern würde: Die Eigentumsvermutung des früheren Besitzers nach Art. 930 Abs. 2 ZGB gilt nur für die Zeit seines Besitzes, während für die spätere Zeit keine Vermutung besteht (Stark, Berner Kommentar, N. 45 zu Art. 930 ZGB ). Wenn die Klägerin heute in der Schweiz eine Vindikationsklage anstrengt, dürfte es deshalb nicht genügen, auf den (behaupteten) Besitz im Zeitpunkt des Versandes in Hong Kong hinzuweisen, vielmehr wäre der Nachweis zu erbringen, dass sie im heutigen Zeitpunkt immer noch selbständigen Besitz an der versandten Ware hat. Hierfür müsste die Klägerin aufzeigen, wer gegenwärtig aus welchem Rechtsgrund für sie den Fremdbesitz innehat.</w:t>
      </w:r>
    </w:p>
    <w:p>
      <w:r>
        <w:rPr>
          <w:b/>
        </w:rPr>
        <w:t>E. 3</w:t>
      </w:r>
    </w:p>
    <w:p>
      <w:r>
        <w:t>Zusammenfassend ergibt sich, dass die Berufung abzuweisen ist, soweit auf sie einzutreten ist. Bei diesem Verfahrensausgang ist die Gerichtsgebühr der Klägerin aufzuerlegen ( Art. 156 Abs. 1 OG ). Da keine Berufungsantwort eingeholt worden ist und der Beklagten folglich keine Kosten entstanden sind, erübrigt sich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