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5C.122/2006 vom 6. Oktober 2006</w:t>
      </w:r>
    </w:p>
    <w:p>
      <w:r>
        <w:t>Bundesgericht, 2006-10-06, FR</w:t>
      </w:r>
    </w:p>
    <w:p>
      <w:r>
        <w:rPr>
          <w:b/>
        </w:rPr>
        <w:t xml:space="preserve">Quelle: </w:t>
      </w:r>
      <w:r>
        <w:t>https://mcp.opencaselaw.ch/entscheid/bger_5C.122_2006</w:t>
      </w:r>
    </w:p>
    <w:p>
      <w:r>
        <w:t>FR: TF 5C.122/2006 du 6 octobre 2006</w:t>
      </w:r>
    </w:p>
    <w:p>
      <w:r>
        <w:t>IT: TF 5C.122/2006 del 6 ottobre 2006</w:t>
      </w:r>
    </w:p>
    <w:p>
      <w:pPr>
        <w:pStyle w:val="Heading2"/>
      </w:pPr>
      <w:r>
        <w:t>Erwägungen</w:t>
      </w:r>
    </w:p>
    <w:p>
      <w:r>
        <w:rPr>
          <w:b/>
        </w:rPr>
        <w:t>E. 1</w:t>
      </w:r>
    </w:p>
    <w:p>
      <w:r>
        <w:t>L'arrêt entrepris, par lequel la cour cantonale a notamment rejeté les conclusions du demandeur tendant à la radiation de la servitude litigieuse au registre foncier, tranche une contestation civile portant sur des droits de nature pécuniaire, au sens de l' art. 46 OJ (cf. ATF 130 III 554 , consid. 1.2 non publié; 121 III 52 , consid. 1 non publié; 114 II 426 , consid. 1 non publié; 107 II 331 , consid. 1 non publié). Contrairement à ce que prescrivent les art. 51 al. 1 let. a et 55 al. 1 let. a OJ, ni l'arrêt attaqué, ni l'acte de recours n'indiquent que la valeur litigieuse exigée par l' art. 46 OJ est atteinte, le demandeur partant de l'idée erronée qu'il s'agirait d'un litige portant sur un droit de nature non pécuniaire. Cela n'affecte toutefois pas la recevabilité du recours, car il peut être constaté d'emblée avec certitude, sur le vu de l'acte de recours et de l'arrêt entrepris, que la valeur litigieuse dépasse largement 8'000 fr. ( ATF 109 II 491 consid. 1c/ee; 90 IV 267 consid. 1; 87 II 113 consid. 1; 83 II 245 consid. 2; 82 II 592 ; 82 III 94 ; 81 II 309 ; 79 III 172 ; 120 II 393 consid. 2 in fine). Il s'ensuit que le recours, interjeté en temps utile (cf. art. 54 al. 1 OJ ) contre une décision finale prise par le tribunal suprême du canton de Genève et qui ne peut pas être l'objet d'un recours ordinaire de droit cantonal (cf. art. 48 al. 1 OJ ), est recevable.</w:t>
      </w:r>
    </w:p>
    <w:p>
      <w:r>
        <w:rPr>
          <w:b/>
        </w:rPr>
        <w:t>E. 2.1</w:t>
      </w:r>
    </w:p>
    <w:p>
      <w:r>
        <w:t>Le demandeur fait grief à la cour cantonale d'avoir violé les art. 3 et 661 CC en retenant que les défendeurs pouvaient invoquer leur bonne foi tant lors de l'inscription de la servitude que pendant toute la durée du délai de dix ans prévu par l' art. 661 CC . Il rappelle que si la bonne foi est présumée en vertu de l' art. 3 al. 1 CC , cette présomption peut être combattue en établissant que la bonne foi présumée n'existe pas, autrement dit que l'intéressé est de mauvaise foi; en outre, celui qui invoque la présomption précitée est déchu de son droit d'invoquer la protection légale si sa bonne foi est incompatible avec l'attention que les circonstances permettaient d'exiger de lui ( art. 3 al. 2 CC ).</w:t>
      </w:r>
    </w:p>
    <w:p>
      <w:r>
        <w:t>Or le demandeur soutient qu'en l'espèce, les constatations de fait opérées par la Cour de justice démontreraient que les défendeurs ne pouvaient que savoir que le demandeur était incapable de discernement. En effet, en présence d'une personne portant les stigmates graves d'un retard mental profond au sens du DSM-IV 318.2, possédant un quotient intellectuel de 20/25 et invalide à 80%, tout un chacun ne pourrait que se rendre compte de son incapacité de discernement. De plus, les défendeurs avaient été, avant le début des pourparlers avec les parents du demandeur le 9 septembre 1980, ses voisins directs pendant plus de trois ans. Ce serait précisément parce que l'incapacité de discernement du demandeur était connue des défendeurs que ceux-ci ont conduit les pourparlers, pendant plus de deux ans, avec les parents du demandeur et non directement avec lui, en sa qualité de propriétaire majeur du domaine. Ce serait également la raison pour laquelle le concours des parents du demandeur, respectivement de son père, a paru indispensable tant à A.________ qu'aux notaires qui ont instrumenté les divers actes successifs. Enfin, il n'a jamais été contesté que la signature du demandeur apposée sur les actes en question était enfantine, ce qui n'avait pas échappé au notaire H.________.</w:t>
      </w:r>
    </w:p>
    <w:p>
      <w:r>
        <w:t>À cela s'ajouterait que A.________ a admis lors de son audition que le demandeur, lors de la séance de signature du premier acte du 6 novembre 1981, lui était "simplement apparu comme très effacé". À cet égard, la cour cantonale, en retenant de manière erronée que le demandeur avait "simplement paru effacé" aux défendeurs (cf. lettre C.b in fine supra), aurait fait preuve d'une inadvertance manifeste qui devrait être corrigée. En outre, le père du demandeur a déclaré lors des enquêtes qu'il avait "mentionné au notaire qui [avait] rencontré [son] fils que celui-ci avait un handicap. Le notaire, pas plus que M. A.________, ne [lui avait] demandé si [son] fils était sous tutelle ou devait l'être". Or la cour cantonale n'aurait pas retenu, par une inadvertance manifeste, que A.________ était présent lorsque Y.________ a déclaré au notaire que son fils avait un handicap.</w:t>
      </w:r>
    </w:p>
    <w:p>
      <w:r>
        <w:t>Selon le demandeur, l'ensemble des constatations précitées seraient amplement suffisantes pour démontrer que les défendeurs avaient connaissance de l'état de santé mentale du demandeur ou ne pouvaient à tout le moins pas de bonne foi l'ignorer, et que dans tous les cas, ils n'ont pas fait preuve de la diligence requise pour bénéficier de la présomption de bonne foi de l' art. 3 al. 1 CC .</w:t>
      </w:r>
    </w:p>
    <w:p>
      <w:r>
        <w:rPr>
          <w:b/>
        </w:rPr>
        <w:t>E. 2.2</w:t>
      </w:r>
    </w:p>
    <w:p>
      <w:r>
        <w:t>Avant d'examiner le bien-fondé de ces griefs, il sied de rappeler les principes applicables.</w:t>
      </w:r>
    </w:p>
    <w:p>
      <w:r>
        <w:rPr>
          <w:b/>
        </w:rPr>
        <w:t>E. 2.2.1</w:t>
      </w:r>
    </w:p>
    <w:p>
      <w:r>
        <w:t>Aux termes de l' art. 661 CC , les droits de celui qui a été inscrit sans cause légitime au registre foncier comme propriétaire d'un immeuble ne peuvent plus être contestés lorsqu'il a possédé l'immeuble de bonne foi, sans interruption et paisiblement pendant dix ans. Cette disposition s'applique par analogie à l'acquisition d'une servitude, par renvoi de l' art. 731 al. 2 CC ( ATF 105 II 329 ). Le titulaire de la servitude inscrite indûment au registre foncier doit l'avoir possédée, paisiblement et sans interruption, pendant dix ans. Si la servitude est négative (par exemple, une interdiction de bâtir), il faut que le propriétaire du fonds servant se soit effectivement abstenu des actes d'utilisation visés par la servitude (Steinauer, Les droits réels, tome II, 3e éd. 2002, n. 2241d; cf. ATF 95 II 605 consid. 5). L'inscription de la servitude au registre foncier, dans la mesure où elle a été requise par le propriétaire du fonds servant ou lui a été communiquée par le conservateur (cf. art. 969 CC ), emporte la présomption que l'abstention, par ce propriétaire, des actes d'utilisation visés par la servitude est la conséquence de cette inscription, laquelle manifeste la volonté du propriétaire du fonds dominant d'exercer la servitude (Liver, Zürcher Kommentar, Band IV/2a/1, 1980, n. 136 et 138 ad art. 731 CC ).</w:t>
      </w:r>
    </w:p>
    <w:p>
      <w:r>
        <w:rPr>
          <w:b/>
        </w:rPr>
        <w:t>E. 2.2.2</w:t>
      </w:r>
    </w:p>
    <w:p>
      <w:r>
        <w:t>La bonne foi est généralement définie comme l'ignorance non fautive du vice (Haab, Zürcher Kommentar, Band IV/1, 1977, n. 12 ad art. 661-663 CC ; Meier-Hayoz, Berner Kommentar, Band IV/1/2, 1964, n. 24 ad art. 661 CC ; Piotet, La bonne foi et sa protection en droit privé suisse, in RSJ 64/1968 p. 81-88 et 100-103, p. 82). N'est par exemple pas de bonne foi l'acquéreur qui sait que l'aliénateur n'a pas la capacité de discernement ( art. 16 CC ), si bien que l'acte de disposition n'a pas d'effet juridique ( art. 18 CC ) et que l'inscription au registre foncier a été faite sans cause légitime (Meier-Hayoz, op. cit., n. 24 ad art. 661 CC ). La bonne foi de l'acquéreur, respectivement du propriétaire du fonds dominant, doit exister non seulement lors de l'inscription, mais aussi pendant toute la durée du délai de prescription (mala fides superveniens nocet), les exigences posées à la bonne foi pendant la durée de la prescription étant toutefois moins élevées qu'au moment de l'acquisition (Meier-Hayoz, op. cit., n. 25 ad art. 661 CC ; Haab, op. cit., n. 12 ad art. 661-663 CC ; Laim, Basler Kommentar, Zivilgesetzbuch II, 2e éd. 2003, n. 14 ad art. 661 CC ; cf. Steinauer, op. cit., n. 1581h).</w:t>
      </w:r>
    </w:p>
    <w:p>
      <w:r>
        <w:rPr>
          <w:b/>
        </w:rPr>
        <w:t>E. 2.2.3</w:t>
      </w:r>
    </w:p>
    <w:p>
      <w:r>
        <w:t>La bonne foi, qui s'apprécie selon les critères de l' art. 3 CC , est présumée ( art. 3 al. 1 CC ), mais l'adversaire de la partie prétendument de bonne foi peut renverser cette présomption en apportant la preuve que l'intéressé avait connaissance du vice (Laim, op. cit., n. 14 ad art. 661 CC ; ATF 119 II 23 consid. 3a). Cette preuve vise un fait interne qui ne peut être établi qu'à partir de circonstances extérieures, par exemple une communication faite à l'intéressé (Deschenaux, Le Titre préliminaire du Code civil, in Traité de droit privé suisse, t. II/1, 1969, p. 203 s.); touchant au fait, elle ressortit exclusivement au recours de droit public (arrêt non publié 5C.50/2003 du 13 août 2003, consid. 3.3; Poudret, Commentaire de la loi fédérale d'organisation judiciaire, vol. II, 1990, n. 4.3.2 et 4.6.2 ad art. 63 OJ et les arrêts cités).</w:t>
      </w:r>
    </w:p>
    <w:p>
      <w:r>
        <w:rPr>
          <w:b/>
        </w:rPr>
        <w:t>E. 2.2.4</w:t>
      </w:r>
    </w:p>
    <w:p>
      <w:r>
        <w:t>L'adversaire de la partie prétendument de bonne foi peut aussi faire valoir que l'intéressé est déchu du droit d'invoquer la protection légale attachée à la bonne foi parce qu'il n'a pas fait preuve de l'attention que les circonstances permettaient d'exiger de lui ( art. 3 al. 2 CC ; Laim, op. cit., n. 14 ad art. 661 CC ; ATF 119 II 23 consid. 3a). Dans ce cas, le débat ne se place plus sur le terrain de la preuve et du fait, mais sur celui du droit à la protection de la bonne foi; cette question peut donc être revue dans un recours en réforme (Deschenaux, op. cit., p. 204 et p. 215 note 40; arrêt non publié 5C.50/2003 du 13 août 2003, consid. 3.4.1; Honsell, Basler Kommentar, Zivilgesetzbuch I, 2e éd. 2002, n. 30 ad art. 3 CC ).</w:t>
      </w:r>
    </w:p>
    <w:p>
      <w:r>
        <w:t>La mesure de l'attention exigée par les circonstances, au sens de l' art. 3 al. 2 CC , est une notion soumise à l'appréciation du juge ( art. 4 CC ; ATF 122 III 1 consid. 2a/aa; Deschenaux, op. cit., p. 214). Elle s'apprécie dans chaque cas particulier en tenant compte de l'ensemble des circonstances et selon des critères objectifs, tirés de ce que ferait un honnête homme placé dans une situation analogue ( ATF 119 II 23 consid. 3c/aa; Deschenaux, op. cit., p. 216; Honsell, op. cit., n. 37 ad art. 3 CC ). La partie de bonne foi qui a fait preuve de négligence, même légère, par rapport au degré d'attention ainsi fixé par hypothèse pour la situation donnée est déchue de la protection légale (Deschenaux, op. cit., p. 217; Baumann, Zürcher Kommentar, Band I/1, 3e éd. 1998, n. 59 ad art. 3 CC ; Honsell, op. cit., n. 35 ad art. 3 CC ; Piotet, op. cit., p. 102).</w:t>
      </w:r>
    </w:p>
    <w:p>
      <w:r>
        <w:rPr>
          <w:b/>
        </w:rPr>
        <w:t>E. 2.3</w:t>
      </w:r>
    </w:p>
    <w:p>
      <w:r>
        <w:t>Il convient maintenant d'appliquer ces principes au cas d'espèce, et ce sur la base des faits retenus par l'autorité cantonale. Si l'on peut donner acte au demandeur que A.________ a effectivement déclaré lors de son audition que le demandeur lui était "simplement apparu comme très effacé" lors de la séance de signature de l'acte du 6 novembre 1981, ce qui ne change pas fondamentalement les choses, il ne ressort pas de l'audition du père du demandeur, contrairement à ce que prétend ce dernier, que A.________ aurait été présent lorsque Y.________ aurait déclaré au notaire que son fils avait un handicap. Il n'y a donc pas d'inadvertance manifeste de la part des juges cantonaux, qui ont au contraire expressément relevé que si le père du demandeur avait indiqué avoir informé le notaire que son fils souffrait d'un handicap, il n'avait pas été allégué ni établi que cette information aurait été donnée en présence des défendeurs ou à ceux-ci (cf. lettre F.c supra).</w:t>
      </w:r>
    </w:p>
    <w:p>
      <w:r>
        <w:t>Force est ainsi de constater qu'il n'est pas établi en fait que les défendeurs auraient eu connaissance de l'incapacité de discernement du demandeur lors de la constitution de la servitude, ni pendant les dix ans qui ont suivi. Sur la base des constatations de fait de l'arrêt attaqué, on ne saurait par ailleurs dire que les défendeurs n'ont pas fait preuve de l'attention requise par les circonstances. Les éléments mis en avant par le demandeur n'étaient pas propres à susciter chez un honnête homme placé dans une situation analogue des doutes sur la capacité de discernement du demandeur.</w:t>
      </w:r>
    </w:p>
    <w:p>
      <w:r>
        <w:t>Ainsi, le fait que tous les pourparlers ont été conduits avec les parents du demandeur et que ce dernier était assisté de son père lors de la signature des actes authentiques pouvait sans autre s'expliquer par un âge encore jeune (23 ans) et/ou une inexpérience en affaires, ainsi que la cour cantonale l'a relevé à raison (cf. lettre F.f supra). Il n'apparaît pas insolite qu'un jeune homme s'en remette à ses parents pour négocier une opération immobilière et qu'il se fasse assister de ceux-ci lors de la signature des actes authentiques finalisant l'opération. Quant au fait que, lors de la signature des actes notariés, le demandeur est apparu aux défendeurs comme effacé, ou même très effacé, il pouvait bien plutôt être perçu comme révélateur d'un trait de caractère que d'une éventuelle déficience mentale, étant rappelé par ailleurs qu'aucune particularité physique ne révèle le retard mental dont le demandeur est affecté. Au demeurant, les défendeurs avaient d'autant moins de raisons de douter de la capacité civile du demandeur que l'acte litigieux du 28 juillet 1982 avait été précédé de deux autres actes authentiques, des 6 novembre 1981 et 25 juin/6 juillet 1982 et qu'aucun des deux notaires - qui, en tant qu'officiers publics, sont tenus de veiller aux intérêts de l'ensemble des parties à l'acte - ayant instrumenté ces actes successifs n'ont mis en cause cette capacité. Dans ces circonstances, le seul caractère "enfantin" de la signature du demandeur, qui n'a pas étonné le notaire et dont il n'est pas établi qu'il ait même été remarqué par les défendeurs, n'était pas de nature à éveiller des doutes sur la capacité de discernement du demandeur.</w:t>
      </w:r>
    </w:p>
    <w:p>
      <w:r>
        <w:t>Il convient enfin d'observer que la servitude litigieuse a été inscrite au registre foncier sur la base de l'acte du 28 juillet 1982, qui comprenait une réquisition d'inscription. Or comme les défendeurs étaient fondés à se fier de bonne foi à l'apparente capacité civile du demandeur, ils pouvaient également partir du principe que l'abstention effective par le demandeur des actes d'utilisation visés par la servitude était la conséquence de l'inscription au registre foncier et peuvent donc, dans les circonstances de l'espèce, se prévaloir de la prescription acquisitive de la servitude selon l' art. 661 CC (cf. consid. 2.2.1 supra).</w:t>
      </w:r>
    </w:p>
    <w:p>
      <w:r>
        <w:t>Il résulte de ce qui précède que les moyens du demandeur tirés d'une prétendue violation des art. 3 et 661 CC doivent être rejetés.</w:t>
      </w:r>
    </w:p>
    <w:p>
      <w:r>
        <w:rPr>
          <w:b/>
        </w:rPr>
        <w:t>E. 3.1</w:t>
      </w:r>
    </w:p>
    <w:p>
      <w:r>
        <w:t>Le demandeur reproche à la cour cantonale d'avoir violé l' art. 663 CC , ainsi que l' art. 134 al. 1 ch. 6 CO , pour avoir refusé de considérer que le délai de prescription acquisitive était suspendu tant que le demandeur, dont il est établi qu'il était déjà privé de la capacité civile active lors de la constitution de la servitude, n'avait pas de représentant légal, soit jusqu'à sa mise sous tutelle le 12 octobre 1994. Il fait valoir que si, selon la jurisprudence suivie par la cour cantonale, l' art. 134 al. 1 ch. 6 CO prévoit une cause de suspension objective, extérieure à la personnalité du créancier (cf. lettre F.f supra), plusieurs auteurs proposent de l'appliquer également aux cas dans lesquels le créancier qui n'a pas la capacité civile active n'a pas de représentant légal.</w:t>
      </w:r>
    </w:p>
    <w:p>
      <w:r>
        <w:rPr>
          <w:b/>
        </w:rPr>
        <w:t>E. 3.2</w:t>
      </w:r>
    </w:p>
    <w:p>
      <w:r>
        <w:t>Aux termes de l' art. 134 al. 1 ch. 6 CO , la prescription ne court point et, si elle avait commencé à courir, elle est suspendue tant qu'il est impossible de faire valoir la créance devant un tribunal suisse. Selon la jurisprudence, cette disposition ne s'applique que si le créancier est empêché d'intenter une action en Suisse par des circonstances objectives, qui ne tiennent pas à lui, soit notamment lorsqu'il n'y a pas de for en Suisse ( ATF 124 III 453 consid. 4a; 90 II 428 consid. 6 à 9; cf. ATF 88 II 283 consid. 3a; Däppen, Basler Kommentar, Obligationenrecht I, 3e éd. 2003, n. 7 ad art. 134 CO ; Berti, Zürcher Kommentar, Band V/1h, 3e éd. 2002, n. 16 ad art. 134 CO ; Pichonnaz, Commentaire romand, Code des obligations I, 2003, n. 9 ad art. 134 CO ). Par son interprétation restrictive de la disposition précitée, le Tribunal fédéral a ainsi fortement relativisé la portée du principe rendu par l'adage contra non valentem agere non currit praescriptio, qui veut que la prescription soit suspendue lorsque le créancier est entravé, pour quelque raison que ce soit, dans la poursuite de son droit; il a souligné qu'il convient de se montrer strict relativement à la nature objective - soit indépendante de la situation personnelle du créancier - des circonstances pertinentes pour l'application de l' art. 134 al. 1 ch. 6 CO , une certaine souplesse étant en revanche de mise lorsqu'il s'agit de décider si la circonstance objective relevée dans un cas concret entre ou non dans les prévisions de cette disposition ( ATF 124 III 453 consid. 4a).</w:t>
      </w:r>
    </w:p>
    <w:p>
      <w:r>
        <w:rPr>
          <w:b/>
        </w:rPr>
        <w:t>E. 3.3</w:t>
      </w:r>
    </w:p>
    <w:p>
      <w:r>
        <w:t>Certes, comme le relève le demandeur, plusieurs auteurs proposent que la cause de suspension de l' art. 134 al. 1 ch. 6 CO soit étendue aux cas dans lesquels le créancier qui est privé de la capacité civile active n'a pas de représentant légal (Spiro, Die Begrenzung privater Rechte durch Verjährungs-, Verwirkungs- und Fatalfristen, Band I, 1975, p. 237 s.; Bucher, Schweizerisches Obligationenrecht, Allgemeiner Teil ohne Deliktsrecht, 2e éd. 1988, p. 462, avec référence aux dispositions expresses de plusieurs codes européens et sud-américains; cf. Gauch/Schluep/Schmid/Rey, Schweizerisches Obligationenrecht, Allgemeiner Teil, Band II, 8e éd. 2003, n. 3527). Toutefois, le sens et le but des dispositions du droit positif suisse sur la suspension de la prescription, tels qu'ils ont été analysés de manière détaillée aux ATF 90 II 428 consid. 9, s'opposent à une telle extension, et il n'y a pas lieu de revenir sur ce point, confirmé aux ATF 124 III 453 consid. 4a.</w:t>
      </w:r>
    </w:p>
    <w:p>
      <w:r>
        <w:t>Il s'ensuit que, comme la cour cantonale l'a retenu à bon droit, le délai de dix ans de l' art. 661 CC , qui a commencé à courir le jour de l'inscription de la servitude litigieuse au registre foncier, soit le 2 septembre 1982, est arrivé à échéance le 2 septembre 1992.</w:t>
      </w:r>
    </w:p>
    <w:p>
      <w:r>
        <w:rPr>
          <w:b/>
        </w:rPr>
        <w:t>E. 3.4</w:t>
      </w:r>
    </w:p>
    <w:p>
      <w:r>
        <w:t>Le demandeur soutient que les défendeurs n'auraient pas possédé la servitude paisiblement pendant dix ans; en effet, la prescription acquisitive de la servitude aurait été suspendue jusqu'au 12 octobre 1994, jour de la mise sous tutelle du demandeur, si bien que l'ouverture de la présente action le 3 juin 2002 aurait mis fin à la possession paisible avant l'échéance du délai de dix ans. Ce grief tombe toutefois à faux, puisqu'il repose sur le présupposé erroné - comme on vient de le voir - que la prescription acquisitive de la servitude aurait été suspendue jusqu'à ce que le demandeur ait été pourvu d'un tuteur.</w:t>
      </w:r>
    </w:p>
    <w:p>
      <w:r>
        <w:rPr>
          <w:b/>
        </w:rPr>
        <w:t>E. 4</w:t>
      </w:r>
    </w:p>
    <w:p>
      <w:r>
        <w:t>En définitive, le recours en réforme, mal fondé, doit être rejeté. Le demandeur, qui succombe, supportera les frais judiciaires ( art. 156 al. 1 OJ ). Il n'y a en revanche pas lieu d'allouer de dépens, dès lors que les défendeurs n'ont pas été invités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