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5C.122/2002 vom 7. Oktober 2002</w:t>
      </w:r>
    </w:p>
    <w:p>
      <w:r>
        <w:t>Bundesgericht, 2002-10-07, DE</w:t>
      </w:r>
    </w:p>
    <w:p>
      <w:r>
        <w:rPr>
          <w:b/>
        </w:rPr>
        <w:t xml:space="preserve">Quelle: </w:t>
      </w:r>
      <w:r>
        <w:t>https://mcp.opencaselaw.ch/entscheid/bger_5C.122_2002</w:t>
      </w:r>
    </w:p>
    <w:p>
      <w:r>
        <w:t>FR: TF 5C.122/2002 du 7 octobre 2002</w:t>
      </w:r>
    </w:p>
    <w:p>
      <w:r>
        <w:t>IT: TF 5C.122/2002 del 7 ottobre 2002</w:t>
      </w:r>
    </w:p>
    <w:p>
      <w:pPr>
        <w:pStyle w:val="Heading2"/>
      </w:pPr>
      <w:r>
        <w:t>Regeste</w:t>
      </w:r>
    </w:p>
    <w:p>
      <w:r>
        <w:t>Schuldbetreibungs- und Konkursrecht</w:t>
      </w:r>
    </w:p>
    <w:p>
      <w:pPr>
        <w:pStyle w:val="Heading2"/>
      </w:pPr>
      <w:r>
        <w:t>Erwägungen</w:t>
      </w:r>
    </w:p>
    <w:p>
      <w:r>
        <w:rPr>
          <w:b/>
        </w:rPr>
        <w:t>E. 1</w:t>
      </w:r>
    </w:p>
    <w:p>
      <w:r>
        <w:t>Gemäss Art. 145 Abs. 1 OG nimmt das Bundesgericht die Erläuterung oder Berichtigung vor, wenn der Rechtsspruch eines bundesgerichtlichen Entscheids unklar, unvollständig oder zweideutig ist, wenn seine Bestimmungen untereinander oder mit den Entscheidungsgründen im Widerspruch stehen oder wenn er Redaktions- oder Rechnungsfehler enthält. Der zu erläuternde Entscheid des Bundesgerichts lautet auf Bestätigung des obergerichtlichen Urteils vom 13. März 1998. Zuständig für die Erläuterung ist deshalb einzig das Bundesgericht unter Ausschluss der kantonalen Vorinstanz (Poudret/Sandoz-Monod, Commentaire de la loi fédérale d'organisation judiciaire, V, Bern 1992, N. 2 zu Art. 145 OG , S. 79, mit Nachweisen). Die jeweiligen Gesuche der Parteien betreffen den gleichen Berufungsentscheid, so dass die beiden Erläuterungsverfahren vereinigt (5C.122/2002 und 5C.169/2002) und in einem Entscheid erledigt werden können ( Art. 40 OG i.V.m. Art. 24 BZP ).</w:t>
      </w:r>
    </w:p>
    <w:p>
      <w:r>
        <w:rPr>
          <w:b/>
        </w:rPr>
        <w:t>E. 2</w:t>
      </w:r>
    </w:p>
    <w:p>
      <w:r>
        <w:t>Das Obergericht hat ein bedingtes Leistungsurteil gefällt und den Beklagten zur Geldzahlung an die Klägerin verpflichtet "Zug um Zug gegen die Herausgabe der von ihr als Pfand gehaltenen Aktien der G.________ Investment AG und der A.________ Ltd.". Die Klägerin bezeichnet die Formulierung ihrer Gegenleistung als erläuterungsbedürftig. Aus dem Dispositiv gehe nicht hervor, welche "Aktien" sie an den Beklagten herauszugeben habe. Ferner liege ein offensichtliches Versehen darin, dass das Obergericht von Aktien der "G.________ Investment AG" spreche, während es sich gemäss der "Personal Guarantee" eindeutig um "Aktien der G.________ Holding AG" handle.</w:t>
      </w:r>
    </w:p>
    <w:p>
      <w:r>
        <w:rPr>
          <w:b/>
        </w:rPr>
        <w:t>E. 2.1</w:t>
      </w:r>
    </w:p>
    <w:p>
      <w:r>
        <w:t>Die Klägerin ersucht um eine klare und ergänzte Formulierung der vom Obergericht zwar klar gedachten und gewollten, aber nur unklar und unvollständig formulierten Entscheidung über die von ihr zu erbringende Gegenleistung. Diesem Zweck dient entgegen der Darstellung des Beklagten die Erläuterung (vgl. etwa Poudret, N. 1 zu Art. 145 OG , S. 77). Auch die weiteren Einwände des Beklagten gegen die Zulässigkeit des Erläuterungsbegehrens sind unbehelflich, insbesondere kann mit der Erläuterung in der Form der Berichtigung ein offensichtliches Versehen korrigiert werden (Messmer/Imboden, Die eidgenössischen Rechtsmittel in Zivilsachen, Zürich 1992, N. 32 S. 45 f., vor Anm. 14). Ein weiterer Schriftenwechsel kann im Erläuterungsverfahren ausnahmsweise stattfinden (Art. 145 Abs. 3 i.V.m. Art. 143 Abs. 3 OG ). In seinem diesbezüglichen Gesuch erweitert und ergänzt der Beklagte, was er dem Bundesgericht in seiner Vernehmlassung zum Erläuterungsbegehren der Klägerin (Ziffer 29 S. 11 ff.) bereits in den Grundzügen dargelegt hat. Auf die entsprechenden Einwände kann deshalb ohne weiteres eingegangen werden (E. 2.2 Abs. 2 und 3 sogleich, jeweilen a.E.).</w:t>
      </w:r>
    </w:p>
    <w:p>
      <w:r>
        <w:rPr>
          <w:b/>
        </w:rPr>
        <w:t>E. 2.2</w:t>
      </w:r>
    </w:p>
    <w:p>
      <w:r>
        <w:t>Dass dem Obergericht ein offensichtliches Versehen unterlaufen ist, bestreitet der Beklagte nicht. Die in den Urteilserwägungen wiedergegebene "Personal Guarantee" (E. 1.3. S. 40) verdeutlicht, dass es sich um "Aktien der G.________ Holding AG" und nicht um solche einer "G.________ Investment AG" handelt. Ebenso wenig bestreitet der Beklagte, dass es bei den verpfändeten Aktien um 1'500 Inhaberaktien der G.________ Holding AG sowie um 71'105'624 Ordinary Shares und 37'563'300 Founder Shares der A.________ Ltd. geht. Der Beklagte listet die entsprechenden Titel in seiner Stellungnahme selber auf (Ziffer 24 S. 9). Wogegen der Beklagte sich verwahrt, ist die Behauptung der Klägerin, sie habe ihm nicht die genannten Wertpapiere, sondern "Dokumente" (Aktienzertifikate, Blanko-Zessionsurkunden o.ä.) herauszugeben, und zwar nicht rechtlich zu übertragen, sondern bloss zurückzugeben, was sie zu Pfand erhalten habe. Es stellt sich zunächst die Frage, was unter dem in der "Personal Guarantee" verwendeten Begriff "the shares" (Urk. 4/27) verstanden werden muss, den beide Parteien übereinstimmend mit "Aktien" übersetzt haben (vgl. Urk. 273 S. 9 und 319 S. 94). Da beide Parteien geschäftserfahren sind, ist zu vermuten, dass sie die von ihnen verwendeten Worte auch in ihrer rechtlichen und wirtschaftlichen Bedeutung verstanden haben ( BGE 113 II 434 E. 3a S. 438; 119 II 368 E. 4b S. 373). Den "Aktien" als Einzeltiteln stehen "Aktienzertifikate" als Ausweise über eine bestimmte Anzahl Aktien rechtlich im Grundsatz gleich. Einem "Aktienzertifikat" kann aber je nach Ausgestaltung auch blosse Beweisfunktion zukommen und - anders als einem traditionellen Wertpapier - die Transportfunktion fehlen (vgl. dazu Forstmoser/Meier-Hayoz/Nobel, Schweizerisches Aktienrecht, Bern 1996, § 43 N. 50 ff. und N. 61 f. S. 549 ff.). Was der Beklagte für das israelische Recht behauptet, gilt jedenfalls im schweizerischen Recht. Welche Funktion den von der Klägerin angebotenen "Aktienzertifikaten" zukommt, ist vor Obergericht nicht Prozessthema gewesen. Entscheidend für die Erläuterung ist allein, dass die Parteien wie auch das Obergericht mit dem Begriff "Aktien" auch "Aktienzertifikate" gemeint haben. In tatsächlicher Hinsicht hat das Obergericht nicht ausdrücklich festgestellt, welche Aktien die Klägerin als Pfand erhalten und nunmehr herauszugeben hat. Denn auf Grund der Formulierung der "Personal Guarantee" ist das Obergericht davon ausgegangen, "dass dem genauen Umfang der zu verpfändenden Aktien keine entscheidende Bedeutung zugemessen wurde" (E. 1.3.3. S. 46); auch soll "die Klägerin vorliegend die verpfändeten Aktien ausdrücklich angeboten" haben (E. 3.2. S. 59). Bezüglich der "Aktien der G.________ Holding AG" hat das Obergericht ausdrücklich auf die Zusammenstellung in Urk. 36/6 verwiesen (E. 1.3.3. S. 46), so dass deren Bestimmung keine Probleme bereiten kann. Welche "Aktien der A.________ Ltd." die Klägerin als Pfand erhalten hat, ist belegt (Urk. 4/38 und 4/39) und im kantonalen Verfahren auch unbestritten geblieben im Unterschied zur Frage, ob es sich dabei um das vertraglich vereinbarte Pfand gehandelt hat (vgl. dazu das bezirksgerichtliche Urteil, Urk. 180 E. 2b S. 43 f., und die Eingaben des Beklagten an das Obergericht, Urk. 273 S. 14ff. und Urk. 358 S. 7, sowie die weiteren Belegstellen in E. 3. S. 3 der obergerichtlichen Stellungnahme). Soweit der Beklagte diesen Streitpunkt heute wieder aufgreift, ist er im Erläuterungsverfahren nicht zu hören (Poudret/Sandoz-Monod und Messmer/Imboden, a.a.O.). Auf Grund der Urkunden steht fest, was die Klägerin als Pfand erhalten und damit herauszugeben hat (vgl. die Zusammenstellung in E. 3.3. S. 4 der obergerichtlichen Stellungnahme).</w:t>
      </w:r>
    </w:p>
    <w:p>
      <w:r>
        <w:rPr>
          <w:b/>
        </w:rPr>
        <w:t>E. 2.3</w:t>
      </w:r>
    </w:p>
    <w:p>
      <w:r>
        <w:t>Im gezeigten Sinne ist das Erläuterungsbegehren der Klägerin gutzuheissen. Bei den herauszugebenden Pfandgegenständen handelt es um: A.________ LTD share certificate Nr. 13 über 37'563'300 founders' shares, A.________ LTD share certificate Nr. 160 über 71'105'624 ordinary shares, G.________ Holding AG share certificate Nr. 1, bearer share No. 1, total val. SFr. 1'000.--, G.________ Holding AG share certificate Nr. 2, bearer share No. 2, total val. SFr. 1'000.--, G.________ Holding AG share certificate Nr. 3, bearer share No. 3, total val. SFr. 1'000.--, G.________ Holding AG share certificate Nr. 4, bearer share No. 4-1500, total val. SFr. 1'497'000.--</w:t>
      </w:r>
    </w:p>
    <w:p>
      <w:r>
        <w:rPr>
          <w:b/>
        </w:rPr>
        <w:t>E. 3</w:t>
      </w:r>
    </w:p>
    <w:p>
      <w:r>
        <w:t>Das Obergericht hat den Beklagten verpflichtet, der Klägerin Zug um Zug gegen die Herausgabe der erwähnten Pfandgegenstände US$ 8'000'000.-- nebst Zins sowie Fr. 7'508'000.-- nebst Zins zu bezahlen. Der Beklagte hält das obergerichtliche Urteil insofern für erläuterungsbedürftig, als beide von ihm zu bezahlenden Geldbeträge durch die Gegenleistung der Klägerin bedingt seien. Die obergerichtliche Formulierung des Dispositivs habe denn auch zu Missverständnissen geführt, indem das Rechtsöffnungsgericht für den zweiten Betrag die definitive Rechtsöffnung erteilt und das Obergericht dies nicht als gegen klares Recht verstossend bezeichnet habe.</w:t>
      </w:r>
    </w:p>
    <w:p>
      <w:r>
        <w:rPr>
          <w:b/>
        </w:rPr>
        <w:t>E. 3.1</w:t>
      </w:r>
    </w:p>
    <w:p>
      <w:r>
        <w:t>Die obergerichtliche Formulierung des Urteilsdispositivs erweist sich nicht bloss als auslegungsbedürftig, sondern ist im Sinne von Art. 145 Abs. 1 OG unklar, wie das Rechtsöffnungs- und anschliessende Rechtsmittelverfahren belegen (Poudret/Sandoz-Monod, N. 3.2 zu Art. 145 OG , S. 81). Die Erteilung definitiver Rechtsöffnung für einen Teilbetrag bedeutet nicht, dass ein Interesse des Beklagten an der Erläuterung fehlt. Sollte das Erläuterungsbegehren begründet sein und die Forderung der Klägerin insgesamt von ihrer Gegenleistung abhängen, erscheint es nicht von vornherein als ausgeschlossen, dass der Beklagte mit Erfolg die Aufhebung bisheriger Betreibungshandlungen erwirken kann ( BGE 56 III 151 Nr. 39; Fritzsche/Walder, Schuldbetreibung und Konkurs nach schweizerischem Recht, I, 3.A. Zürich 1984, § 22 N. 2 S. 274). Insoweit kann der richtige Vollzug des obergerichtlichen Urteils nach wie vor in Frage stehen, so dass beim Beklagten ein rechtliches Interesse an der Beurteilung seines Erläuterungsgesuchs noch vorhanden ist (allgemein: BGE 114 II 189 E. 2 S. 190; Poudret/Sandoz-Monod, N. 4 zu Art. 145 OG , S. 83, i.V.m. N. 4 des VII. Titels vor Art. 136-145 OG , S. 11; Zweifel, Revision, Reinigung und Erläuterung nach st. gallischer Zivilprozessordnung, Diss. Freiburg i. Ue. 1952, S. 70).</w:t>
      </w:r>
    </w:p>
    <w:p>
      <w:r>
        <w:rPr>
          <w:b/>
        </w:rPr>
        <w:t>E. 3.2</w:t>
      </w:r>
    </w:p>
    <w:p>
      <w:r>
        <w:t>Der Währungsschaden ist Verzugsschaden ( Art. 106 OR ), tritt wie Verzugszins ( Art. 104 OR ) als Nebenleistung zur Hauptforderung hinzu, setzt diese voraus und kann ohne sie weder entstehen noch bestehen (vgl. dazu Schraner, Zürcher Kommentar, 2000, N. 31-33, N. 45 ff. und N. 81 ff. zu Art. 73 OR ; z.B. BGE 109 II 436 E. 1 S. 439). Das Obergericht hat diese Grundsätze zwar nicht eigens erläutert, doch gehen sie aus der Systematik des Urteils (E. IV S. 61 ff.: Hauptanspruch, Verzugszinsen und Währungsschaden) deutlich hervor; es wird zudem ausdrücklich hervorgehoben, dass die Klägerin mit der Geltendmachung ihres Währungsverlustes den Ersatz des den Verzugszins übersteigenden Schadens verlange, mithin Verzugsschaden einklage (E. 3.2 S. 63 ff.). Teilt der Anspruch auf Ersatz des Währungsverlustes wegen verspäteter Leistung das Schicksal der Hauptforderung, so hängt er wie diese von der Herausgabe der Pfandgegenstände Zug um Zug ab.</w:t>
      </w:r>
    </w:p>
    <w:p>
      <w:r>
        <w:rPr>
          <w:b/>
        </w:rPr>
        <w:t>E. 3.3</w:t>
      </w:r>
    </w:p>
    <w:p>
      <w:r>
        <w:t>Das Erläuterungsbegehren des Beklagten ist im gezeigten Sinne gutzuheissen.</w:t>
      </w:r>
    </w:p>
    <w:p>
      <w:r>
        <w:rPr>
          <w:b/>
        </w:rPr>
        <w:t>E. 4</w:t>
      </w:r>
    </w:p>
    <w:p>
      <w:r>
        <w:t>Bei diesem Verfahrensausgang sind die Gerichtskosten insgesamt hälftig zu teilen und die Parteikosten wettzuschlagen ( Art. 156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