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5C.118/2005 vom 16. Februar 2006</w:t>
      </w:r>
    </w:p>
    <w:p>
      <w:r>
        <w:t>Bundesgericht, 2006-02-16, FR</w:t>
      </w:r>
    </w:p>
    <w:p>
      <w:r>
        <w:rPr>
          <w:b/>
        </w:rPr>
        <w:t xml:space="preserve">Quelle: </w:t>
      </w:r>
      <w:r>
        <w:t>https://mcp.opencaselaw.ch/entscheid/bger_5C.118_2005</w:t>
      </w:r>
    </w:p>
    <w:p>
      <w:r>
        <w:t>FR: TF 5C.118/2005 du 16 février 2006</w:t>
      </w:r>
    </w:p>
    <w:p>
      <w:r>
        <w:t>IT: TF 5C.118/2005 del 16 febbraio 2006</w:t>
      </w:r>
    </w:p>
    <w:p>
      <w:pPr>
        <w:pStyle w:val="Heading2"/>
      </w:pPr>
      <w:r>
        <w:t>Regeste</w:t>
      </w:r>
    </w:p>
    <w:p>
      <w:r>
        <w:t>effets accessoires du divorce (partage de la prévoyance professionnelle) | Droit de la famille</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Déposé en temps utile - compte tenu de la suspension des délais prévue par l' art. 34 al. 1 let. a OJ - contre une décision finale prise en dernière instance par le tribunal suprême du canton, le recours est ouvert sous l'angle des art. 48 al. 1 et 54 al. 1 OJ. La valeur litigieuse est atteinte, en sorte qu'il est aussi recevable de ce chef (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 pertinents régulièrement allégués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rPr>
          <w:b/>
        </w:rPr>
        <w:t>E. 2</w:t>
      </w:r>
    </w:p>
    <w:p>
      <w:r>
        <w:t>Le demandeur reproche à l'autorité cantonale d'avoir appliqué l' art. 122 CC en lieu et place de l' art. 124 CC . Il soutient qu'un partage des prestations de sortie ne pouvait être ordonné puisqu'il a pris une retraite anticipée pour raisons de santé le 1er avril 2004, date à laquelle la question du partage de la prévoyance professionnelle des époux était encore pendante devant le tribunal des assurances. Compte tenu des circonstances, aucune indemnité ne serait par ailleurs due à la défenderesse.</w:t>
      </w:r>
    </w:p>
    <w:p>
      <w:r>
        <w:rPr>
          <w:b/>
        </w:rPr>
        <w:t>E. 2.1</w:t>
      </w:r>
    </w:p>
    <w:p>
      <w:r>
        <w:t>Selon l' art. 122 al. 1 CC ,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Une indemnité équitable est due quand un cas de prévoyance est déjà survenu pour l'un des époux ou les deux, ou quand les prétentions en matière de prévoyance professionnelle acquises durant le mariage ne peuvent être partagées pour d'autres motifs ( art. 124 al. 1 CC ). Les dispositions légales applicables aux prétentions découlant de la prévoyance professionnelle opèrent ainsi une distinction selon qu'un cas de prévoyance (en matière de divorce, l'invalidité ou la retraite) est survenu ou non. Selon la jurisprudence, il faut se placer à la date (déterminante) de l'entrée en force du prononcé du divorce pour trancher ce point ( ATF 130 III 297 consid. 3.3.1 p. 301). Dans la présente espèce, le cas de prévoyance est survenu après l'entrée en force du prononcé du divorce, mais à un moment où la procédure était encore pendante sur certains effets accessoires et où le partage n'avait pas encore été effectué par le juge des assurances. Il s'impose donc d'examiner si, dans ce cas, le moment déterminant pour décider si les prestations de sortie doivent être partagées conformément à l' art. 122 al. 1 CC ou s'il y a lieu de fixer une indemnité équitable au sens de l' art. 124 al. 1 CC est également l'entrée en force du prononcé du divorce. Pour une partie de la doctrine, le moment déterminant est toujours celui de l'entrée en force du prononcé du divorce (cf. Baumann/Lauterburg, in I. Schwenzer [Hrsg.], FamKommentar Scheidung, 2005, n. 42 ad Vorbem. zu Art. 122-124 ZGB) lorsque le cas de prévoyance survient après le prononcé du divorce et que le règlement définitif des questions touchant à la prévoyance professionnelle n'a pas encore été effectué par le juge des assurances (Thomas Geiser, Zur Frage des massgeblichen Zeitpunkts beim Vorsorgeausgleich, in FamPra.ch 2/2004 p. 301 ss, 307, 308, 309, 311 et 312; Grütter/Summermatter, Erstinstanzliche Erfahrungen mit dem Vorsorgeausgleich bei Scheidung, insbesondere nach Art. 124 ZGB, in FamPra.ch 4/2002, p. 641 ss, 650; Ueli Kieser, Ehescheidung und Eintritt des Vorsorgefalles der beruflichen Vorsorge - Hinweise für die Praxis, in PJA 2001 p. 155 ss, 156). D'autres auteurs soutiennent toutefois que lorsque le cas de prévoyance survient avant que la décision du juge des assurances ou du Tribunal fédéral des assurances ne soit exécutoire, la situation de fait se modifie totalement car, pour l'un des conjoints, la prestation de sortie est réduite à néant (en cas d'invalidité totale ou de retraite) ou de moitié (en cas d'invalidité partielle). Le juge des assurances ne saurait, selon eux, exécuter le partage, mais doit renvoyer l'affaire à la juridiction civile pour qu'elle statue d'office sur l'application de l' art. 124 CC dans une procédure soit de révision du jugement de divorce - si le cas de prévoyance est survenu avant le transfert de l'affaire à la juridiction des assurances -, soit de modification du jugement de divorce - si le cas de prévoyance est survenu pendant la procédure devant les juridictions des assurances (Schneider/Bruchez, La prévoyance professionnelle et le divorce, in Le nouveau droit du divorce, 2000, p. 193 ss, n. 4.6.5.3.2. p. 258-259; Sutter/Freiburghaus, Kommentar zum neuen Scheidungsrecht, Zurich 1999, n. 11 ad art. 124 CC ; Hermann Walser, Commentaire bâlois, 2e éd., n. 8 ad art. 124 CC ; cf. aussi la prise de position de l'OFAS, in Bulletin de la prévoyance professionnelle n° 66 du 17 janvier 2003, et Erika Schnyder, Le nouveau droit du divorce et la prévoyance professionnelle: aperçu des modifications légales, in Sécurité sociale, Revue de l'OFAS 1/1999 n° 6 p. 308 ss, 309 et 311, qui préconise que les jugements de divorce prévoient une clause transitoire pour les cas de décès et d'invalidité qui surviendraient après que le divorce est prononcé, mais avant que le juge des assurances sociales n'ait procédé au partage).</w:t>
      </w:r>
    </w:p>
    <w:p>
      <w:r>
        <w:rPr>
          <w:b/>
        </w:rPr>
        <w:t>E. 2.2</w:t>
      </w:r>
    </w:p>
    <w:p>
      <w:r>
        <w:t>Selon la volonté du législateur, chaque époux a droit à la moitié des expectatives de prévoyance acquises durant le mariage par son conjoint (Message du Conseil fédéral, FF 1996 I 1 ss, n. 233.41 p. 101/102; cf. aussi Schneider/Bruchez, op. cit., n. 4.1. p. 212). Le juge du divorce est toutefois autorisé, même si aucun cas de prévoyance n'est survenu, à décider s'il convient de procéder au partage, selon l' art. 122 CC , ou si celui-ci doit être refusé, conformément à l' art. 123 al. 2 CC . La question du partage dépend donc exclusivement des rapports entre époux,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doit uniquement exécuter le partage; il ne décide rien concernant l'existence du droit au partage. En résumé, le moment déterminant pour décider si un cas de prévoyance est survenu est donc l'entrée en force du prononcé du divorce. Si, à ce moment-là, un cas de prévoyance futur est prévisible, le juge peut en tenir compte dans le cadre de l' art. 123 al. 2 CC . Mais la survenance d'un cas de prévoyance postérieurement à la décision de partage entrée en force ne peut entraîner une reconsidération de celle-ci. Il importe peu que l'institution de prévoyance - le cas échéant sans savoir que la prestation de sortie est soumise au partage selon l' art. 122 CC - ait déjà versé une rente calculée sur la base de la prestation de sortie non partagée. En l'occurrence, à la date de l'entrée en force du prononcé du divorce, soit au jour du dépôt du mémoire de réponse sans appel incident du demandeur, le 10 mars 2004, celui-ci n'avait pas pris de retraite anticipée. Aucun cas de prévoyance n'était survenu ni pour l'un ni pour l'autre des époux. Le Tribunal de première instance a ordonné le partage et sa décision est entrée en force à la date précitée. Le fait que le demandeur, qui avait travaillé comme facteur depuis 1961, ait été mis à la retraite anticipée pour des raisons médicales à compter du 1er avril 2004 - date à laquelle le montant des avoirs LPP à transférer n'avait pas encore été fixé par le Tribunal cantonal des assurances - ne peut donc avoir une incidence sur la décision de partage entrée en force.</w:t>
      </w:r>
    </w:p>
    <w:p>
      <w:r>
        <w:rPr>
          <w:b/>
        </w:rPr>
        <w:t>E. 3</w:t>
      </w:r>
    </w:p>
    <w:p>
      <w:r>
        <w:t>En conclusion, le recours se révèle mal fondé et doit par conséquent être rejeté, aux frais de son auteur ( art. 156 al. 1 OJ ), dont la requête d'assistance judiciaire peut cependant être agréée ( art. 152 OJ ). Cela ne le dispense pas pour autant de payer des dépens à sa partie adverse, qui l'emporte ( ATF 122 I 322 consid. 2c p. 324/325). Le demandeur supportera en outre les frais de la présente procédure ( art. 156 al. 1 OJ ), frais qui seront provisoirement pris en charge par la Caisse du Tribunal fédéral. Cela étant, rien ne s'oppose désormais à ce que l'affaire soit transmise au juge des assurances du lieu du divorce ( art. 142 al. 2 CC ; 73 al. 1 LPP ), qui est compétent pour exécuter le partage ( art. 25a al. 1 LFLP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