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5C.110/2002 vom 4. Juli 2002</w:t>
      </w:r>
    </w:p>
    <w:p>
      <w:r>
        <w:t>Bundesgericht, 2002-07-04, FR</w:t>
      </w:r>
    </w:p>
    <w:p>
      <w:r>
        <w:rPr>
          <w:b/>
        </w:rPr>
        <w:t xml:space="preserve">Quelle: </w:t>
      </w:r>
      <w:r>
        <w:t>https://mcp.opencaselaw.ch/entscheid/bger_5C.110_2002</w:t>
      </w:r>
    </w:p>
    <w:p>
      <w:r>
        <w:t>FR: TF 5C.110/2002 du 4 juillet 2002</w:t>
      </w:r>
    </w:p>
    <w:p>
      <w:r>
        <w:t>IT: TF 5C.110/2002 del 4 luglio 2002</w:t>
      </w:r>
    </w:p>
    <w:p>
      <w:pPr>
        <w:pStyle w:val="Heading2"/>
      </w:pPr>
      <w:r>
        <w:t>Erwägungen</w:t>
      </w:r>
    </w:p>
    <w:p>
      <w:r>
        <w:rPr>
          <w:b/>
        </w:rPr>
        <w:t>E. 1.1</w:t>
      </w:r>
    </w:p>
    <w:p>
      <w:r>
        <w:t>Selon la règle générale de l' art. 57 al. 5 OJ - applicable également au recours en nullité, vu le renvoi de l' art. 74 OJ ( ATF 118 II 521 consid.1a et les références citées) -, le recours de droit public doit être examiné en premier lieu. Il se justifie néanmoins de déroger à ce principe lorsque le recours en réforme, respectivement le recours en nullité, paraît devoir être admis indépendamment des griefs soulevés dans le recours de droit public ( ATF 122 I 81 consid. 1; 120 Ia 377 consid. 1 et les arrêts cités). Tel étant le cas en l'espèce, comme on le verra (cf. consid. 2 infra), il y a lieu d'examiner en premier lieu le recours en nullité.</w:t>
      </w:r>
    </w:p>
    <w:p>
      <w:r>
        <w:rPr>
          <w:b/>
        </w:rPr>
        <w:t>E. 1.2</w:t>
      </w:r>
    </w:p>
    <w:p>
      <w:r>
        <w:t>Réduit à son dispositif, l'arrêt entrepris est une décision prononçant l'irrecevabilité de la requête de mesures provisionnelles; il résulte de la motivation de l'arrêt que cette irrecevabilité a été prononcée en raison du défaut de compétence ratione loci des autorités judiciaires genevoises. Toutefois, par ses considérants, la Cour de justice a également débattu, dans un obiter dictum de plusieurs pages, des mérites de la requête, pour retenir que les mesures provisionnelles sollicitées étaient injustifiées dans leur principe. Il convient dès lors de clarifier la portée de l'arrêt attaqué.</w:t>
      </w:r>
    </w:p>
    <w:p>
      <w:r>
        <w:t>La portée juridique d'un jugement résulte de son seul dispositif, même s'il faut parfois recourir aux motifs pour déterminer la portée exacte du dispositif (cf. pour l'autorité de la chose jugée ATF 123 III 16 consid. 2a; 121 III 474 consid. 4a et les références citées; Fabienne Hohl, Procédure civile, Tome I, 2001, n. 1309 et 1311; Walther Habscheid, Droit judiciaire privé suisse, 2e éd., 1981, p. 313). Ainsi, il faut considérer qu'un jugement dont le dispositif déclare une demande irrecevable ne tranche, avec l'autorité de la chose jugée, que cette question de recevabilité (cf. Habscheid, op. cit., p. 316).</w:t>
      </w:r>
    </w:p>
    <w:p>
      <w:r>
        <w:rPr>
          <w:b/>
        </w:rPr>
        <w:t>E. 1.3</w:t>
      </w:r>
    </w:p>
    <w:p>
      <w:r>
        <w:t>En tant qu'il statue sur la compétence ratione loci pour ordonner des mesures provisionnelles, l'arrêt attaqué n'est pas une décision finale au sens de l' art. 48 OJ ; seul le recours en nullité est ainsi recevable en vertu de l' art. 68 al. 1 let . e OJ (cf. ATF 118 II 184 consid. 1a et les références citées), qui au contraire de l' art. 48 OJ n'exige pas que la décision attaquée soit finale (Poudret, Commentaire de la loi fédérale d'organisation judiciaire, vol. II, 1990, n. 2.1 et 2.3 ad art. 68 OJ ).</w:t>
      </w:r>
    </w:p>
    <w:p>
      <w:r>
        <w:rPr>
          <w:b/>
        </w:rPr>
        <w:t>E. 2.1</w:t>
      </w:r>
    </w:p>
    <w:p>
      <w:r>
        <w:t>Les recourants se plaignent d'une violation de prescriptions de droit fédéral - lequel comprend les traités internationaux conclus par la Confédération - quant à la compétence territoriale locale, respectivement internationale, au sens de l' art. 68 al. 1 let . e OJ.</w:t>
      </w:r>
    </w:p>
    <w:p>
      <w:r>
        <w:t>Selon les recourants, les faits pertinents pour la question de la compétence étaient ceux qui prévalaient au début de la litispendance, où il n'y avait aucun élément d'extranéité. En conséquence, la question de la compétence des autorités judiciaires genevoises devait s'examiner exclusivement au regard de la loi fédérale sur les fors (cf. art. 1 al. 1 LFors ). Or cette loi prévoit pour les actions fondées sur une atteinte à la personnalité la compétence du tribunal du domicile ou du siège de l'une des parties ( art. 12 let. a LFors ), et ce tribunal est également compétent pour ordonner des mesures provisionnelles ( art. 33 LFors ). Les requérants ayant leur domicile, respectivement leur siège, à Genève, les autorités judiciaires genevoises étaient bien compétentes ratione loci. L'intervention en seconde instance de trois personnes domiciliées à l'étranger ne modifiait pas cette compétence, que les intimés n'avaient d'ailleurs jamais contestée et qui restait acquise en vertu du principe de la perpetuatio fori.</w:t>
      </w:r>
    </w:p>
    <w:p>
      <w:r>
        <w:t>Les recourants font encore valoir que même si la question de la compétence devait être examinée au regard de la Convention de Lugano à la suite de l'intervention volontaire en seconde instance des intimés 3 à 5, ceux-ci pouvaient être attraits en Suisse en vertu de l'art. 5 § 3 CL . Au surplus, la matière litigieuse ne relevant d'aucune règle impérative de compétence selon la Convention de Lugano, la comparution sans réserve d'une partie devant le juge par hypothèse territorialement incompétent emportait acceptation tacite de sa compétence en vertu de l' art. 18 CL , qui consacre le principe de l'Einlassung.</w:t>
      </w:r>
    </w:p>
    <w:p>
      <w:r>
        <w:rPr>
          <w:b/>
        </w:rPr>
        <w:t>E. 2.2</w:t>
      </w:r>
    </w:p>
    <w:p>
      <w:r>
        <w:t>L'Einlassungsprinzip (principe de l'acceptation tacite de compétence) signifie que le défendeur ne peut plus contester la compétence du juge saisi du litige lorsqu'il est entré en matière sur le fond sans soulever l'exception d'incompétence ( ATF 123 III 35 consid. 3b; 122 III 298 consid. 4; 118 Ib 468 consid. 4a et les nombreux arrêts cités). Ce principe est ancré tant à l' art. 18 CL (cf. ATF 122 III 298 consid. 4) qu'à l' art. 10 al. 1 LFors . L' art. 18 CL prévoit en effet qu'outre les cas où sa compétence résulte d'autres dispositions de la convention, le juge d'un État contractant devant lequel le défendeur comparaît est compétent, cette règle n'étant pas applicable si la comparution a pour objet de contester la compétence ou s'il existe une autre juridiction exclusivement compétente en vertu de l'article 16 CL. L' art. 10 al. 1 LFors prévoit quant à lui que, sauf disposition légale contraire, le tribunal saisi est compétent lorsque le défendeur procède sans faire de réserve sur la compétence; le tribunal peut toutefois décliner sa compétence lorsque le litige ne présente pas de lien territorial ou matériel suffisant avec le for élu ( art. 9 al. 3 LFors , applicable par analogie en vertu de l' art. 10 al. 2 LFors ).</w:t>
      </w:r>
    </w:p>
    <w:p>
      <w:r>
        <w:rPr>
          <w:b/>
        </w:rPr>
        <w:t>E. 2.3</w:t>
      </w:r>
    </w:p>
    <w:p>
      <w:r>
        <w:t>En l'occurrence, force est de constater que tous les intimés ont à tout le moins accepté tacitement la compétence des tribunaux genevois : les intimés 1 et 2 sont entrés en matière sur le fond devant le Tribunal de première instance, dont ils n'ont jamais contesté la compétence (qui résulte, si l'on applique la LFors, des art. 12 let. a et 33 de cette loi); quant aux intimés 3 à 5, ils sont intervenus de leur propre chef dans la procédure de recours devant la Cour de justice en prenant des conclusions sur le "fond" du litige. Dans ces conditions - étant précisé au surplus qu'il n'y a pas d'autre juridiction qui apparaisse exclusivement compétente pour connaître du litige et que celui-ci présente un lien manifeste avec le canton de Genève, canton de domicile des requérants qui se plaignent d'y subir une atteinte à leur personnalité -, la cour cantonale a violé les règles applicables quant à la compétence territoriale, au sens de l' art. 68 al. 1 let . e OJ, en déclinant la compétence ratione loci des autorités judiciaires genevoises pour statuer sur la requête de mesures provisionnelles présentée le 14 janvier 2002.</w:t>
      </w:r>
    </w:p>
    <w:p>
      <w:r>
        <w:rPr>
          <w:b/>
        </w:rPr>
        <w:t>E. 3</w:t>
      </w:r>
    </w:p>
    <w:p>
      <w:r>
        <w:t>Il résulte de ce qui précède que le recours, fondé, doit être admis. En vertu de l' art. 73 al. 2 OJ , le Tribunal fédéral, lorsqu'il déclare le recours en nullité fondé, peut se prononcer lui-même sur la question de compétence si la cause est en état d'être jugée. Tel étant le cas en l'espèce, il y a lieu de constater que les tribunaux genevois sont compétents pour statuer sur la requête de mesures provisionnelles déposée le 14 janvier 2002.</w:t>
      </w:r>
    </w:p>
    <w:p>
      <w:r>
        <w:t>Obtenant gain de cause, les recourants n'ont pas à supporter d'émolument judiciaire ( art. 156 al. 1 OJ ). Il en va de même des intimés, qui ne peuvent être considérés comme succombant dans la mesure où ils n'ont pas conclu au rejet du recours, confirmant au contraire dans leur réponse à celui-ci qu'ils admettaient la compétence des autorités judiciaires genevoises saisies (Messmer/Imboden, Die eidgenössischen Rechtsmittel in Zivilsachen, 1992, p. 35 note 19 et les arrêts cités). Les frais judiciaires ne peuvent pas non plus être exigés du canton de Genève ( art. 156 al. 2 OJ ), qui indemnisera en revanche les recourants pour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