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5C.109/2001 vom 10. Juli 2001</w:t>
      </w:r>
    </w:p>
    <w:p>
      <w:r>
        <w:t>Bundesgericht, 2001-07-10, DE</w:t>
      </w:r>
    </w:p>
    <w:p>
      <w:r>
        <w:rPr>
          <w:b/>
        </w:rPr>
        <w:t xml:space="preserve">Quelle: </w:t>
      </w:r>
      <w:r>
        <w:t>https://mcp.opencaselaw.ch/entscheid/bger_5C.109_2001</w:t>
      </w:r>
    </w:p>
    <w:p>
      <w:r>
        <w:t>FR: TF 5C.109/2001 du 10 juillet 2001</w:t>
      </w:r>
    </w:p>
    <w:p>
      <w:r>
        <w:t>IT: TF 5C.109/2001 del 10 luglio 2001</w:t>
      </w:r>
    </w:p>
    <w:p>
      <w:pPr>
        <w:pStyle w:val="Heading2"/>
      </w:pPr>
      <w:r>
        <w:t>Regeste</w:t>
      </w:r>
    </w:p>
    <w:p>
      <w:r>
        <w:t>Vertragsrecht</w:t>
      </w:r>
    </w:p>
    <w:p>
      <w:pPr>
        <w:pStyle w:val="Heading2"/>
      </w:pPr>
      <w:r>
        <w:t>Erwägungen</w:t>
      </w:r>
    </w:p>
    <w:p>
      <w:r>
        <w:rPr>
          <w:b/>
        </w:rPr>
        <w:t>E. 1</w:t>
      </w:r>
    </w:p>
    <w:p>
      <w:r>
        <w:t>a) Der Formulierung des Rechtsbegehrens der Klägerin kann ohne Zweifel entnommen werden, dass sie um Gutheissung der Klage im Gesamtbetrag von Fr. 22'789. 50 nebst Zins von 5 % seit dem 25. März 1997 ersucht (= Fr. 8'736.-- + Fr. 14'053. 50). Damit ist der Vorschrift, das Berufungsbegehren zu beziffern, Genüge getan ( Art. 55 Abs. 1 lit. b OG ; BGE 125 III 412 E. 1b S. 414 unten). b) Die Klägerin bemerkt zu Recht, dass das Bundesgericht - von Ausnahmen abgesehen ( Art. 55 Abs. 1 lit. d, Art. 63 Abs. 2 und Art. 64 OG ) - an den vorinstanzlich festgestellten Sachverhalt gebunden ist. Soweit sie sinngemäss geltend macht, der Sachverhalt sei ergänzungsbedürftig, bleibt sie ohne Erfolg. Denn sie belegt nicht mit Aktenhinweisen, dass sie entsprechende Beweisanträge prozesskonform gestellt hat, die übergangen worden sind ( Art. 64 Abs. 1 OG ; BGE 119 II 353 E. 5c/aa S. 357; 115 II 484 E. 2a). Im gleichen Zusammenhang behauptet die Klägerin, neue tatsächliche Vorbringen seien insoweit zulässig, als sie sich auf im angefochtenen Urteil erstmals verwendete Tatsachen beziehen. Damit verwechselt sie neue Rügen mit neuen Tatsachen und zitiert nicht einschlägige Judikatur und Lehre zur staatsrechtlichen Beschwerde. Denn sie verkennt, dass im Berufungsverfahren neue tatsächliche Vorbringen grundsätzlich unzulässig sind ( Art. 55 Abs. 1 lit. c OG ).</w:t>
      </w:r>
    </w:p>
    <w:p>
      <w:r>
        <w:rPr>
          <w:b/>
        </w:rPr>
        <w:t>E. 2</w:t>
      </w:r>
    </w:p>
    <w:p>
      <w:r>
        <w:t>Das Kantonsgericht ist auf Grund der von ihm gewürdigten Geschehnisse bei der Deklaration der gestohlenen oder beschädigten Werte ohne Willkür (vgl. E. 3 bis 6 zur staatsrechtlichen Beschwerde) zum Schluss gelangt, die Klägerin habe die leistungsrelevanten Tatsachen objektiv unrichtig mitgeteilt und die Folgen von Art. 40 VVG (SR 221. 229.1) zu tragen. Die Klägerin erachtet die Beweise aus verschiedenen Gründen als nicht überzeugend. a) Welche Anforderungen an das Beweismass zu stellen sind, ergibt sich aus Bundesrecht. Demnach ist das Abstellen auf einen Anscheinsbeweis dort bundesrechtswidrig, wo ein strikter Beweis verlangt wird. Der Richter kann die sichere Überzeugung aber auch auf Grund von Indizien gewinnen ( BGE 118 II 235 E. 3c S. 238 f.; 98 II 231 E. 5 S. 242 f.). Das muss besonders in Fällen wie dem vorliegenden gelten, wo ein direkter Nachweis nur selten möglich sein dürfte. Denn Beweisanforderungen dürfen nicht so hoch angesetzt werden, dass vom Gesetz geschützte Ansprüche nicht durchgesetzt werden können ( BGE 118 II 235 E. 3c S. 239 vor Mitte). Zwar macht die Klägerin geltend, das Kantonsgericht habe zu geringe Anforderungen an den Beweis gestellt. Ob sie damit ihrer Begründungspflicht genügt ( Art. 55 Abs. 1 lit. c OG ; BGE 116 II 745 E. 3 S. 749), kann offen bleiben. Denn sie kritisiert mit den gleichen Argumenten, die sich im Beschwerdeverfahren als erfolglos erwiesen haben, unzulässigerweise die Beweiswürdigung des angefochtenen Urteils ( BGE 125 III 78 E. 3a; 122 III 26 E. 4a/aa S. 32 unten). Sie begründet mit keinem Wort, weshalb das Kantonsgericht aus zahlreichen Indizien, die alle in die gleiche Richtung weisen, unter Missachtung der hohen Beweisanforderungen auf objektiv unrichtige Mitteilung der leistungsrelevanten Tatsachen geschlossen haben könnte. Insoweit ist eine Verletzung von Bundesrecht auch nicht ersichtlich. b) Falls die Klägerin über die vorstehend behandelten Rügen hinaus geltend machen will, Art. 8 ZGB sei verletzt, begründet sie nicht, inwiefern dies der Fall sein könnte ( Art. 55 Abs. 1 lit. c OG ). Sollte sie meinen, die Beklagte trage die Beweislast, würde sie verkennen, dass die Beweislastverteilung gegenstandslos ist, sobald der Richter vom Beweisergebnis überzeugt ist; diesfalls kann Art. 8 ZGB nicht verletzt sein ( BGE 118 II 142 E. 3a S. 147 unten, 114 II 289 E. 2a S. 291 Mitte). Falls sie meint, unter Berufung auf Art. 8 ZGB könne das Beweisergebnis angefochten werden, übersieht sie, dass Art. 8 ZGB nicht vorschreibt, mit welchen Mitteln Beweise zu erheben und wie sie zu würdigen sind ( BGE 122 III 219 E. 3c S. 223).</w:t>
      </w:r>
    </w:p>
    <w:p>
      <w:r>
        <w:rPr>
          <w:b/>
        </w:rPr>
        <w:t>E. 3</w:t>
      </w:r>
    </w:p>
    <w:p>
      <w:r>
        <w:t>Bringt die Klägerin zum grössten Teil unzulässige Sachverhaltsrügen vor und begründet diese nicht gehörig, können der Berufung von vornherein keine Erfolgschancen beigemessen werden ( BGE 124 I 304 E. 2c). Ist somit ihr Gesuch um Gewährung der unentgeltlichen Rechtspflege für das Berufungsverfahren abzuweisen, wird die unterliegende Klägerin gebührenpflichtig ( Art. 156 Abs. 1 OG ); jedoch schuldet sie keine Parteientschädigung, weil der Beklagten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