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5C.103/2002 vom 18. Juli 2002</w:t>
      </w:r>
    </w:p>
    <w:p>
      <w:r>
        <w:t>Bundesgericht, 2002-07-18, FR</w:t>
      </w:r>
    </w:p>
    <w:p>
      <w:r>
        <w:rPr>
          <w:b/>
        </w:rPr>
        <w:t xml:space="preserve">Quelle: </w:t>
      </w:r>
      <w:r>
        <w:t>https://mcp.opencaselaw.ch/entscheid/bger_5C.103_2002</w:t>
      </w:r>
    </w:p>
    <w:p>
      <w:r>
        <w:t>FR: TF 5C.103/2002 du 18 juillet 2002</w:t>
      </w:r>
    </w:p>
    <w:p>
      <w:r>
        <w:t>IT: TF 5C.103/2002 del 18 luglio 2002</w:t>
      </w:r>
    </w:p>
    <w:p>
      <w:pPr>
        <w:pStyle w:val="Heading2"/>
      </w:pPr>
      <w:r>
        <w:t>Regeste</w:t>
      </w:r>
    </w:p>
    <w:p>
      <w:r>
        <w:t>Droit de la famille</w:t>
      </w:r>
    </w:p>
    <w:p>
      <w:pPr>
        <w:pStyle w:val="Heading2"/>
      </w:pPr>
      <w:r>
        <w:t>Erwägungen</w:t>
      </w:r>
    </w:p>
    <w:p>
      <w:r>
        <w:rPr>
          <w:b/>
        </w:rPr>
        <w:t>E. 1.1</w:t>
      </w:r>
    </w:p>
    <w:p>
      <w:r>
        <w:t>L'arrêt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1.2</w:t>
      </w:r>
    </w:p>
    <w:p>
      <w:r>
        <w:t>Le complément d'observations de la demanderesse n'ayant pas été déposé dans le délai de recours de 30 jours ( art. 54 al. 1 OJ ), il est irrecevable.</w:t>
      </w:r>
    </w:p>
    <w:p>
      <w:r>
        <w:rPr>
          <w:b/>
        </w:rPr>
        <w:t>E. 2</w:t>
      </w:r>
    </w:p>
    <w:p>
      <w:r>
        <w:t>Il convient, en l'espèce, de déroger à l' art. 57 al. 5 OJ et de traiter en parallèle le recours en réforme et le recours de droit public (cf. ATF 117 II 630 consid. 1c p. 631/632; arrêt 4C.213/1992, consid. 1, non publié aux ATF 119 II 51 ). En effet, il se justifie de déroger à l'ordre de priorité institué par cette disposition lorsque le sort du recours de droit public serait sans incidence sur celui du recours en réforme ( ATF 120 Ia 377 consid. 1 p. 379; 118 II 521 consid. 1b p. 523). Or, dans le cas présent, la décision attaquée tranche plusieurs prétentions, à savoir la contribution à l'entretien du conjoint, le partage de la prévoyance professionnelle et la liquidation du régime matrimonial; pour les deux premières, il y a lieu de traiter d'abord le recours en réforme, alors que pour la troisième, le recours de droit public doit être examiné au préalable.</w:t>
      </w:r>
    </w:p>
    <w:p>
      <w:r>
        <w:rPr>
          <w:b/>
        </w:rPr>
        <w:t>E. 3</w:t>
      </w:r>
    </w:p>
    <w:p>
      <w:r>
        <w:t>Saisi d'un recours en réforme, le Tribunal fédéral fonde son arrêt sur les faits tels qu'ils ont été constatés par la dernière autorité cantonale, à moins que des dispositions fédérales en matière de preuve n'aient été violées, qu'il y ait lieu à rectification de constatations reposant sur une inadvertance manifeste ( art. 63 al. 2 OJ ) ou qu'il faille renvoyer la cause pour compléter les constatations de fait de l'autorité cantonale parce que celle-ci n'a pas tenu compte de faits pertinents, régulièrement allégués et prouvés ( art. 64 al. 1 OJ ). Dans la mesure où la demanderesse - comme elle l'indique elle-même - complète l'état de fait de la décision attaquée sans se prévaloir pour autant de l'une des exceptions susmentionnées, son recours est dès lors irrecevable ( ATF 127 III 248 consid. 2c p. 252).</w:t>
      </w:r>
    </w:p>
    <w:p>
      <w:r>
        <w:rPr>
          <w:b/>
        </w:rPr>
        <w:t>E. 4</w:t>
      </w:r>
    </w:p>
    <w:p>
      <w:r>
        <w:t>Il s'impose d'examiner d'emblée la question du droit applicable. Se fondant sur l' art. 7a al. 1 et 2 Tit. fin. CC , la Cour de justice a considéré que l'ancien droit était exclusivement applicable aux questions relatives à la contribution d'entretien et au sort de la prévoyance professionnelle, puisque le divorce était entré en force le 23 juin 1989; concernant le régime matrimonial, elle a jugé que sa liquidation devait s'opérer, en vertu de l' art. 9d al. 3 Tit. fin. CC , selon les règles de l'union des biens. La demanderesse reproche aux juges cantonaux d'avoir nié l'application du nouveau droit du divorce, entré en vigueur le 1er janvier 2000, et, partant, d'avoir refusé d'appliquer, d'une part, l' art. 125 CC et, d'autre part, les art. 122 ss CC ; en revanche, elle ne conteste pas l'application des dispositions sur le régime de l'union des biens (art. 194 ss aCC)</w:t>
      </w:r>
    </w:p>
    <w:p>
      <w:r>
        <w:rPr>
          <w:b/>
        </w:rPr>
        <w:t>E. 4.1.1</w:t>
      </w:r>
    </w:p>
    <w:p>
      <w:r>
        <w:t>Selon l' art. 7a Tit. fin. CC , dont la note marginale est "Principe", le divorce est régi par le nouveau droit dès l'entrée en vigueur de la loi (al. 1); la loi ne rétroagit pas à l'égard des mariages valablement dissous en conformité avec l'ancien droit; les nouvelles dispositions sur l'exécution (à savoir les art. 131-132 CC sur l'aide au recouvrement et l'avis aux débiteurs) sont applicables aux rentes et aux indemnités en capital destinées à compenser la perte du droit à l'entretien ou versées à titre d'assistance (al. 2). En vertu de l' art. 7b Tit. fin. CC , dont la note marginale est "Procès en divorce pendants", les procès pendants qui doivent être jugés par une instance cantonale sont soumis au nouveau droit dès son entrée en vigueur (al. 1); les parties peuvent présenter de nouvelles conclusions sur les questions touchées par la modification du droit applicable; les points du jugement qui ne font pas l'objet d'un recours sont définitifs, pour autant qu'ils n'aient pas de lien matériel si étroit avec des questions encore ouvertes qu'ils justifient une appréciation globale (al. 2).</w:t>
      </w:r>
    </w:p>
    <w:p>
      <w:r>
        <w:rPr>
          <w:b/>
        </w:rPr>
        <w:t>E. 4.1.2</w:t>
      </w:r>
    </w:p>
    <w:p>
      <w:r>
        <w:t>En l'espèce, il s'agit de déterminer si, lorsque le jugement de divorce est entré en force sur la question de la dissolution du lien conjugal avant l'entrée en vigueur du nouveau droit du divorce, mais que les effets accessoires demeurent litigieux, l'on est en présence d'un mariage dissous en conformité avec l'ancien droit, auquel la nouvelle loi ne rétroagit pas en vertu de l' art. 7a al. 2 Tit. fin. CC , ou d'un procès en divorce pendant au sens de l' art. 7b al. 1 Tit. fin. CC . Il résulte du texte de l' art. 7b al. 2 Tit. fin. CC que, même si le jugement est entré en force sur le principe du divorce avant le 1er janvier 2000, le procès est toujours "pendant" sur les points qui demeurent litigieux devant une instance cantonale au 1er janvier 2000, qu'il doit donc être tranché en application du nouveau droit du divorce, que seuls les points du jugement non attaqués sont devenus définitifs, sous réserve de ceux qui sont étroitement liés à des questions encore litigieuses, et que les parties peuvent présenter de nouvelles conclusions sur les questions encore litigieuses et touchées par la modification du droit applicable. Cette interprétation est également retenue par la doctrine (Sutter/Freiburghaus, Kommentar zum neuen Scheidungsrecht, Zurich 1999, n. 12 ad art. 7b Tit. fin. CC ; Geiser, Berufliche Vorsorge im neuen Scheidungsrecht, in Vom alten zum neuen Scheidungsrecht, Berne 1999, p. 101 n. 2.123; Leuenberger, in Praxiskommentar Scheidungsrecht, Bâle/Genève/Munich 2000, n. 12 ad art. 7a/b Tit. fin. CC; Micheli et al., Le nouveau droit du divorce, Lausanne 1999, n. 89-90). En ce qui concerne plus particulièrement le partage de la prévoyance professionnelle, le législateur a jugé que la constitution d'une prévoyance vieillesse convenable durant le mariage fait partie de l'entretien et doit, compte tenu de son importance, revenir aux deux époux. Le nouveau droit doit s'appliquer à tous les procès pendants en première et en deuxième instances (Message du Conseil fédéral, FF 1996 I 175 n. 253.2; cf. également Sutter/Freiburghaus, loc. cit.). Le changement du droit applicable impose aux parties de présenter de nouvelles conclusions, et au juge de procéder à une nouvelle instruction du procès (Message, loc. cit.); si les expectatives du deuxième pilier doivent être partagées, il y aura lieu de revoir la contribution d'entretien qui lui est étroitement liée, même si elle n'a pas fait l'objet du recours (Message, loc. cit.). En l'espèce, le jugement est entré en force en 1989 sur le principe du divorce et le procès était toujours pendant sur les questions litigieuses devant le Tribunal de première instance au 1er janvier 2000. Le nouveau droit du divorce, entré en vigueur le 1er janvier 2000, est donc applicable au principe et à la quotité de la contribution d'entretien due au conjoint, ainsi qu'au partage de la prévoyance professionnelle. Contrairement à ce que paraît soutenir le défendeur dans sa réponse, le sort de la prestation de libre passage n'a pas été définitivement réglé par l'arrêt de la Cour de justice du 27 septembre 1991; celle-ci l'a seulement écartée des biens matrimoniaux à partager - conformément à la jurisprudence ( ATF 118 II 382 consid. 4b p. 385 ss et les citations) -, mais non de toute prise en considération dans le cadre de la fixation de la pension de l'épouse; au surplus, le recours au Tribunal fédéral a seulement été déclaré irrecevable, car déposé contre une décision qui n'était pas finale au sens de l' art. 48 al. 1 OJ .</w:t>
      </w:r>
    </w:p>
    <w:p>
      <w:r>
        <w:rPr>
          <w:b/>
        </w:rPr>
        <w:t>E. 4.2</w:t>
      </w:r>
    </w:p>
    <w:p>
      <w:r>
        <w:t>Aux termes de l' art. 9d al. 3 Tit. fin. CC , si un régime matrimonial est dissous par suite de l'admission d'une demande formée avant l'entrée en vigueur de la loi nouvelle - à savoir de la loi du 5 octobre 1984 sur les effets généraux du mariage, les régimes matrimoniaux et les successions, en vigueur depuis le 1er janvier 1988 -, la liquidation a lieu conformément à la loi ancienne. La révision du droit du divorce ne touche pas aux régimes matrimoniaux et n'a, par conséquent, aucun effet sur leur liquidation (Geiser, Übersicht zum Übergangsrecht des neuen Scheidungsrecht, in Vom alten zum neuen Scheidungsrecht, Berne 1999, p. 256 n. 6.24). En l'espèce, le régime matrimonial des parties doit donc être liquidé conformément aux règles de l'union des biens (art. 194 ss aCC), la demande tendant à la liquidation étant antérieure au 1er janvier 1988.</w:t>
      </w:r>
    </w:p>
    <w:p>
      <w:r>
        <w:rPr>
          <w:b/>
        </w:rPr>
        <w:t>E. 5</w:t>
      </w:r>
    </w:p>
    <w:p>
      <w:r>
        <w:t>En application de l'ancien droit, la Cour de justice a alloué à la demanderesse une rente d'assistance de 800 fr. par mois au sens de l'art. 152 aCC; quant à la prévoyance professionnelle, elle a jugé que l'intéressée ne pouvait se prévaloir de l' art. 124 CC , la prestation de libre passage du mari ayant d'ailleurs été exclue de la liquidation du régime matrimonial. La recourante conclut à l'allocation d'une contribution d'entretien mensuelle de 3'800 fr. conformément à l' art. 125 CC , ainsi qu'au versement d'une équitable indemnité au sens de l' art. 124 CC sous forme d'un capital de 340'537 fr. 50 ou d'une rente équivalente. Etant donné que, en matière d'entretien du conjoint et de prévoyance professionnelle, le nouveau droit du divorce se différencie de l'ancien sur des points essentiels, de sorte que son application peut conduire à un résultat complètement différent (Sutter/Freiburghaus, n. 12 ad art. 7b Tit. fin. CC et n. 3 rem. prél. ad art. 122-124/141-142 CC), et qu'il impose au juge de partager d'office les prestations de sortie et, en cas de survenance d'un cas de prévoyance - en cours de procédure comme en l'espèce (Sutter/Freiburghaus, n. 4 ss ad art. 124 CC ) -, de statuer d'office sur le montant et la forme de l'indemnité équitable de l' art. 124 CC , les maximes d'office (Offizialmaxime) et inquisitoire (Untersuchungsmaxime) étant applicables dans les deux situations (Sutter/Freiburghaus, n. 17 ad art. 124 CC ), il se justifie de renvoyer la cause à l'autorité cantonale, qui s'est fondée erronément sur l'ancien droit du divorce, pour instruction et nouvelle décision sur la base des dispositions nouvelles. Cela étant, il devient superflu d'examiner le moyen de la demanderesse tiré d'une violation de l'art. 152 aCC et de son droit au minimum vital.</w:t>
      </w:r>
    </w:p>
    <w:p>
      <w:r>
        <w:rPr>
          <w:b/>
        </w:rPr>
        <w:t>E. 6</w:t>
      </w:r>
    </w:p>
    <w:p>
      <w:r>
        <w:t>La demanderesse se plaint encore d'une violation des art. 194 ss aCC; elle reproche à la cour cantonale d'avoir, en se bornant à constater qu'elle n'avait pas démontré que le témoin B.________ aurait menti, omis de se prononcer sur la titularité des avoirs de la société X.________, lesquels feraient partie des "acquêts". Cette critique est irrecevable à un double titre: d'une part elle est insuffisamment motivée au regard de l' art. 55 al. 1 let . c OJ ( ATF 116 II 745 consid. 3 p. 749 et la jurisprudence citée); d'autre part, elle est dirigée contre l'appréciation des preuves à laquelle a procédé l'autorité cantonale ( ATF 119 II 84 et les arrêts cités).</w:t>
      </w:r>
    </w:p>
    <w:p>
      <w:r>
        <w:rPr>
          <w:b/>
        </w:rPr>
        <w:t>E. 7</w:t>
      </w:r>
    </w:p>
    <w:p>
      <w:r>
        <w:t>La recourante obtenant partiellement gain de cause, les frais judiciaires doivent être mis pour un tiers à sa charge et pour deux tiers à la charge de l'intimé ( art. 156 al. 3 OJ ). La recourante et l'intimé ont droit à des dépens réduits dans la même proportion et compensés à concurrence du montant le plus faible ( art. 159 al. 3 OJ ). Dans une lettre accompagnant son recours de droit public, le conseil de la recourante sollicite implicitement l'octroi de l'assistance judiciaire aussi pour la procédure du recours en réforme. Il se borne toutefois à alléguer que sa mandante se trouve dans le besoin (cf. ATF 125 IV 161 consid. 4a p. 164/165), renvoyant à l'arrêt attaqué pour ce qui est de ses ressources et de ses charges, et précisant - ce qui n'est pas déterminant ( ATF 122 III 392 consid. 3a p. 393) - qu'elle a plaidé au bénéfice de l'assistance judiciaire devant les juridictions cantonales. Comme il ressort des constatations de fait de l'autorité cantonale que la demanderesse dispose d'une fortune de 170'000 fr., qui pourrait être mise à contribution pour payer ses frais de procès ( ATF 119 Ia 11 consid. 5 p. 12 et la jurisprudence citée), et qu'elle n'a pas établi non plus qu'une provisio ad litem ne pourrait lui être allouée à cette fin ( ATF 91 II 253 consid. 1 p. 255), sa requête d'assistance judiciaire doit être rejetée, dans la mesure où 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