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5C.102/2003 vom 25. Juni 2003</w:t>
      </w:r>
    </w:p>
    <w:p>
      <w:r>
        <w:t>Bundesgericht, 2003-06-25, DE</w:t>
      </w:r>
    </w:p>
    <w:p>
      <w:r>
        <w:rPr>
          <w:b/>
        </w:rPr>
        <w:t xml:space="preserve">Quelle: </w:t>
      </w:r>
      <w:r>
        <w:t>https://mcp.opencaselaw.ch/entscheid/bger_5C.102_2003</w:t>
      </w:r>
    </w:p>
    <w:p>
      <w:r>
        <w:t>FR: TF 5C.102/2003 du 25 juin 2003</w:t>
      </w:r>
    </w:p>
    <w:p>
      <w:r>
        <w:t>IT: TF 5C.102/2003 del 25 giugno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den kantonalen Sachverhaltsfeststellungen haben die Erblasser in ihren Testamenten das Erbrecht ihres Heimatstaates für anwendbar erklärt, was zulässig ist ( Art. 90 Abs. 2 IPRG ). Folgerichtig hat das Obergericht des Kantons Graubünden die Vorschriften des niederländischen Bürgerlichen Gesetzbuches (Burgerlijk Wetboek) angewandt.</w:t>
      </w:r>
    </w:p>
    <w:p>
      <w:r>
        <w:t>Mit Berufung kann einerseits die Verletzung von Bundesrecht geltend gemacht werden ( Art. 43 Abs. 1 OG ) und andererseits, der angefochtene Entscheid habe zu Unrecht nicht ausländisches Recht angewandt oder zu Unrecht festgestellt, dessen Ermittlung sei nicht möglich ( Art. 43a Abs. 1 OG ). Bei nicht vermögensrechtlichen Zivilstreitigkeiten kann ausserdem geltend gemacht werden, der angefochtene Entscheid wende das ausländische Recht nicht richtig an ( Art. 43a Abs. 2 OG ).</w:t>
      </w:r>
    </w:p>
    <w:p>
      <w:r>
        <w:t>Vorliegend wird - soweit nicht über weite Strecken die kantonale Sachverhaltsfeststellung gerügt wird, was im Berufungsverfahren von vornherein unzulässig ist ( Art. 55 Abs. 1 lit. c und Art. 63 Abs. 2 OG ) - sinngemäss die fehlerhafte Anwendung materiellen Rechts geltend gemacht. Die Erbteilungsklage ist indes vermögensrechtlicher Natur ( BGE 112 II 206 E. 1c S. 208; 127 III 396 E. 1b/cc S. 398), weshalb die inhaltlich richtige Anwendung des niederländischen Rechts nach den oben genannten Grundsätzen nicht überprüft werden kann.</w:t>
      </w:r>
    </w:p>
    <w:p>
      <w:r>
        <w:rPr>
          <w:b/>
        </w:rPr>
        <w:t>E. 2</w:t>
      </w:r>
    </w:p>
    <w:p>
      <w:r>
        <w:t>Auf die Berufung ist somit nicht einzutreten und den Klägern ist unter solidarischer Haftbarkeit eine reduzierte Gerichtsgebühr aufzuerlegen ( Art. 156 Abs. 1 und 7 OG ). Da keine Berufungsantwort eingeholt worden ist, entfällt praxisgemäss ein Entschädigungsanspruch der obsiegenden Gegenpartei.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