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5A_9/2026 vom 3. Februar 2026</w:t>
      </w:r>
    </w:p>
    <w:p>
      <w:r>
        <w:t>Bundesgericht, 2026-02-03, FR</w:t>
      </w:r>
    </w:p>
    <w:p>
      <w:r>
        <w:rPr>
          <w:b/>
        </w:rPr>
        <w:t xml:space="preserve">Quelle: </w:t>
      </w:r>
      <w:r>
        <w:t>https://mcp.opencaselaw.ch/entscheid/bger_5A_9_2026</w:t>
      </w:r>
    </w:p>
    <w:p>
      <w:r>
        <w:t>FR: TF 5A_9/2026 du 3 février 2026</w:t>
      </w:r>
    </w:p>
    <w:p>
      <w:r>
        <w:t>IT: TF 5A_9/2026 del 3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5A_9/2026</w:t>
      </w:r>
    </w:p>
    <w:p>
      <w:r>
        <w:t>Arrêt du 3 février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Chambre de surveillance de la Cour de justice du canton de Genève,</w:t>
      </w:r>
    </w:p>
    <w:p>
      <w:r>
        <w:t>place du Bourg-de-Four 1, 1204 Genève.</w:t>
      </w:r>
    </w:p>
    <w:p>
      <w:r>
        <w:t>Objet</w:t>
      </w:r>
    </w:p>
    <w:p>
      <w:r>
        <w:t>avance de frais (nomination d'office d'un curateur),</w:t>
      </w:r>
    </w:p>
    <w:p>
      <w:r>
        <w:t>recours contre la décision de la Chambre de</w:t>
      </w:r>
    </w:p>
    <w:p>
      <w:r>
        <w:t>surveillance de la Cour de justice du canton de Genève du 12 décembre 2025 (C/28228/2025 DCJC/1131/2025).</w:t>
      </w:r>
    </w:p>
    <w:p>
      <w:r>
        <w:t>Vu :</w:t>
      </w:r>
    </w:p>
    <w:p>
      <w:r>
        <w:t>la décision prise le 12 décembre 2025 par la Chambre de surveillance de la Cour de justice du canton de Genève invitant A.________ à verser une avance de frais de 400 fr. jusqu'au 30 décembre 2025;</w:t>
      </w:r>
    </w:p>
    <w:p>
      <w:r>
        <w:t>le recours (en matière civile) formé le 5 janvier 2026 par la prénommée à l'encontre de cette décision;</w:t>
      </w:r>
    </w:p>
    <w:p>
      <w:r>
        <w:t>considérant :</w:t>
      </w:r>
    </w:p>
    <w:p>
      <w:r>
        <w:t>que le présent recours est traité en tant que recours en matière civile au sens de l'art. 72 al. 2 let. b ch. 6 LTF;</w:t>
      </w:r>
    </w:p>
    <w:p>
      <w:r>
        <w:t>que la recourante ne démontre aucunement que la décision incidente attaquée pourrait lui causer un préjudice (juridique) irrecevable au sens de l' art. 93 al. 1 let. a LTF ( ATF 142 III 798 consid. 2 et les nombreux arrêts cités);</w:t>
      </w:r>
    </w:p>
    <w:p>
      <w:r>
        <w:t>que, de surcroît, elle n'expose pas en quoi cette décision - fondée sur le droit cantonal - serait arbitraire ( art. 9 Cst. ) ou contraire à d'autres droits constitutionnels ( art. 106 al. 2 LTF ; ATF 143 III 65 consid. 4.3 et la jurisprudence citée), son argumentation étant incompréhensible;</w:t>
      </w:r>
    </w:p>
    <w:p>
      <w:r>
        <w:t>que, en conclusion, le présent recours doit être déclaré irrecevable par voie de procédure simplifiée ( art. 108 al. 1 let . aet b LTF);</w:t>
      </w:r>
    </w:p>
    <w:p>
      <w:r>
        <w:t>que, vu les circonstances de l'espèce, le présent arrêt est rendu sans frais (art. 66 al. 1, 2ème phrase,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 et à la Chambre de surveillance de la Cour de justice du canton de Genève.</w:t>
      </w:r>
    </w:p>
    <w:p>
      <w:r>
        <w:t>Lausanne, le 3 février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