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5A_9/2025 vom 8. Januar 2025</w:t>
      </w:r>
    </w:p>
    <w:p>
      <w:r>
        <w:t>Bundesgericht, 2025-01-08, DE</w:t>
      </w:r>
    </w:p>
    <w:p>
      <w:r>
        <w:rPr>
          <w:b/>
        </w:rPr>
        <w:t xml:space="preserve">Quelle: </w:t>
      </w:r>
      <w:r>
        <w:t>https://mcp.opencaselaw.ch/entscheid/bger_5A_9_2025</w:t>
      </w:r>
    </w:p>
    <w:p>
      <w:r>
        <w:t>FR: TF 5A_9/2025 du 8 janvier 2025</w:t>
      </w:r>
    </w:p>
    <w:p>
      <w:r>
        <w:t>IT: TF 5A_9/2025 del 8 gennaio 2025</w:t>
      </w:r>
    </w:p>
    <w:p>
      <w:pPr>
        <w:pStyle w:val="Heading2"/>
      </w:pPr>
      <w:r>
        <w:t>Erwägungen</w:t>
      </w:r>
    </w:p>
    <w:p>
      <w:r>
        <w:rPr>
          <w:b/>
        </w:rPr>
        <w:t>E. 1</w:t>
      </w:r>
    </w:p>
    <w:p>
      <w:r>
        <w:t>Angefochten ist ein kantonal letztinstanzlicher Entscheid betreffend eine vorsorgliche Besuchsrechtsregelung und somit eine vorsorgliche Massnahme ( Art. 72 Abs. 1, Art. 75 Abs. 1 und Art. 98 BGG ).</w:t>
      </w:r>
    </w:p>
    <w:p>
      <w:r>
        <w:t>Die Beschwerde in Zivilsachen steht folglich offen, aber es kann nur die Verletzung verfassungsmässiger Rechte gerügt werden. Hierfür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t>Sodann hat die Beschwerde ein Rechtsbegehren in der Sache zu enthalten ( Art. 42 Abs. 1 BGG ).</w:t>
      </w:r>
    </w:p>
    <w:p>
      <w:r>
        <w:rPr>
          <w:b/>
        </w:rPr>
        <w:t>E. 2</w:t>
      </w:r>
    </w:p>
    <w:p>
      <w:r>
        <w:t>Die Beschwerde enthält keine eigentlichen Rechtsbegehren und es werden weder verfassungsmässige Rechte genannt, welche verletzt sein sollen, noch der Sache nach Verfassungsrügen erhoben. Vielmehr schildert der Beschwerdeführer weitschweifig, aber durchwegs in appellatorischer Weise und weitgehend auch am möglichen Beschwerdegegenstand (Besuchsrecht) vorbeigehend seine eigene Sicht der Dinge, wobei er im Wesentlichen Kritik an der Mutter übt.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