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9/2018 vom 8. Januar 2018</w:t>
      </w:r>
    </w:p>
    <w:p>
      <w:r>
        <w:t>Bundesgericht, 2018-01-08, DE</w:t>
      </w:r>
    </w:p>
    <w:p>
      <w:r>
        <w:rPr>
          <w:b/>
        </w:rPr>
        <w:t xml:space="preserve">Quelle: </w:t>
      </w:r>
      <w:r>
        <w:t>https://mcp.opencaselaw.ch/entscheid/bger_5A_9_2018</w:t>
      </w:r>
    </w:p>
    <w:p>
      <w:r>
        <w:t>FR: TF 5A 9/2018 du 8 janvier 2018</w:t>
      </w:r>
    </w:p>
    <w:p>
      <w:r>
        <w:t>IT: TF 5A 9/2018 del 8 gennaio 2018</w:t>
      </w:r>
    </w:p>
    <w:p>
      <w:pPr>
        <w:pStyle w:val="Heading2"/>
      </w:pPr>
      <w:r>
        <w:t>Regeste</w:t>
      </w:r>
    </w:p>
    <w:p>
      <w:r>
        <w:t>Sistierung des Kontaktrechts | Familienrecht</w:t>
      </w:r>
    </w:p>
    <w:p>
      <w:pPr>
        <w:pStyle w:val="Heading2"/>
      </w:pPr>
      <w:r>
        <w:t>Erwägungen</w:t>
      </w:r>
    </w:p>
    <w:p>
      <w:r>
        <w:rPr>
          <w:b/>
        </w:rPr>
        <w:t>E. 1</w:t>
      </w:r>
    </w:p>
    <w:p>
      <w:r>
        <w:t>Ein Ausstandsbegehren kann nicht institutionell, d.h. gegen ein Gericht oder eine Abteilung erhoben werden; vielmehr sind substanziiert vorgetragene Ausstandsgründe in Bezug auf konkrete Personen vorzubringen (vgl. BGE 105 Ib 301 E. 1a S. 302 f.; Urteile 1B_86/2011 vom 14. April 2011 E. 3.3.1; 2C_305/2011 vom 22. August 2011 E. 2.7; 5A_205/2017 vom 11. Mai 2017 E. 3). Im Übrigen ist ein Richter, wie dem Beschwerdeführer bereits mitgeteilt wurde (Urteil 5A_832/2017 vom 24. Oktober 2017 E. 3), nicht allein deshalb befangen, weil er in einem früheren Verfahren zwischen den gleichen Parteien geurteilt hat ( Art. 34 Abs. 2 BGG ; BGE 129 III 445 E. 4.2.2.2 S. 466 f.; 143 IV 69 E. 3 S. 74).</w:t>
      </w:r>
    </w:p>
    <w:p>
      <w:r>
        <w:rPr>
          <w:b/>
        </w:rPr>
        <w:t>E. 2</w:t>
      </w:r>
    </w:p>
    <w:p>
      <w:r>
        <w:t>Neue Begehren sind vor Bundesgericht unzulässig ( Art. 99 Abs. 2 BGG ). Soweit der Beschwerdeführer mehr oder anderes verlangt, als von der Vorinstanz beurteilt wurde, ist darauf nicht einzutreten ( BGE 136 V 362 E. 3.4.2 S. 365; Urteil 5A_761/2016 vom 20. Juni 2017 E. 2.2.3). Dies betrifft die Begehren im Zusammenhang mit Obhutszuteilung und Entlassung sämtlicher Beistände. Ohnehin unzuständig ist das Bundesgericht zur Entgegennahme von Strafanzeigen; darauf ist nicht einzugehen.</w:t>
      </w:r>
    </w:p>
    <w:p>
      <w:r>
        <w:rPr>
          <w:b/>
        </w:rPr>
        <w:t>E. 3</w:t>
      </w:r>
    </w:p>
    <w:p>
      <w:r>
        <w:t>In der Sache geht es beim Anfechtungsobjekt um die Besuchsrechtsregelung für die Zeit bis zum neuen erstinstanzlichen Sachentscheid, mithin um einen Zwischenentscheid,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Vorliegend wird kein nicht wieder gutzumachender Nachteil dargelegt. Im Übrigen wäre in der Beschwerde in gedrängter Form darzulegen, inwiefern der angefochtene Entscheid Recht verletzt ( Art. 42 Abs. 2 BGG ), was eine Auseinandersetzung mit der Begründung des angefochtenen Entscheides erfordert ( BGE 140 III 115 E. 2 S. 116). In diesem wird ausführlich dargelegt, wieso einstweilen ein begleitetes Besuchsrecht von einem halben Tag pro Monat eingeräumt wird. Die blosse Behauptung, dies sei viel zu wenig, stellt keine Auseinandersetzung mit den betreffenden obergerichtlichen Erwägungen dar. Soweit die Beschwerde im Übrigen eine Schelte im Zusammenhang mit der Frage der Gehörsheilung enthält, geht diese insofern an der Sache vorbei, als das Obergericht gerade festgestellt hat, dass vorliegend keine Heilung möglich und Sache deshalb an die Vorinstanz zurückzuweisen sei; eine Rechtsverletzung durch den angefochtenen Entscheid ist vor diesem Hintergrund nicht ersichtlich.</w:t>
      </w:r>
    </w:p>
    <w:p>
      <w:r>
        <w:rPr>
          <w:b/>
        </w:rPr>
        <w:t>E. 4</w:t>
      </w:r>
    </w:p>
    <w:p>
      <w:r>
        <w:t>Insgesamt erweist sich die Beschwerde als teils unzulässig, als teils offensichtlich nicht hinreichend begründet und im Übrigen einmal mehr als querulatorisch, weshalb auf sie nicht eingetreten werden kann und das präsidierende Mitglied im vereinfachten Verfahren entscheidet (Art. 108 Abs. 1 lit. a, b und c BGG).</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