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5A_999/2015 vom 19. Februar 2016</w:t>
      </w:r>
    </w:p>
    <w:p>
      <w:r>
        <w:t>Bundesgericht, 2016-02-19, DE</w:t>
      </w:r>
    </w:p>
    <w:p>
      <w:r>
        <w:rPr>
          <w:b/>
        </w:rPr>
        <w:t xml:space="preserve">Quelle: </w:t>
      </w:r>
      <w:r>
        <w:t>https://mcp.opencaselaw.ch/entscheid/bger_5A_999_2015</w:t>
      </w:r>
    </w:p>
    <w:p>
      <w:r>
        <w:t>FR: TF 5A_999/2015 du 19 février 2016</w:t>
      </w:r>
    </w:p>
    <w:p>
      <w:r>
        <w:t>IT: TF 5A_999/2015 del 19 febbraio 2016</w:t>
      </w:r>
    </w:p>
    <w:p>
      <w:pPr>
        <w:pStyle w:val="Heading2"/>
      </w:pPr>
      <w:r>
        <w:t>Erwägungen</w:t>
      </w:r>
    </w:p>
    <w:p>
      <w:r>
        <w:rPr>
          <w:b/>
        </w:rPr>
        <w:t>E. 1</w:t>
      </w:r>
    </w:p>
    <w:p>
      <w:r>
        <w:t>Angefochten ist der Entscheid einer oberen kantonalen Instanz als Rechtsmittelinstanz ( Art. 75 Abs. 2 BGG ) betreffend Regelung der Gerichtskosten und der Parteientschädigung in einem Kindesschutzverfahren; der Entscheid schliesst das Verfahren ab ( Art. 90 BGG ). Vor der letzten kantonalen Instanz war nicht ausschliesslich die Kosten- und Entschädigungsfrage strittig, sodass sich das Rechtsmittel nach der Hauptsache richtet (vgl. BGE 137 III 47 E. 1.2). Dabei handelt es sich um einen Entscheid betreffend Kindesschutz und damit um eine Streitsache nicht vermögensrechtlicher Natur (Art. 72 Abs. 2 lit. b Ziff. 6 BGG). Die übrigen Eintretensvoraussetzungen ( Art. 76 Abs. 1 und Art. 100 BGG ) geben zu keinen Bemerkungen Anlass. Die Beschwerde in Zivilsachen ist grundsätzlich gegeben. Die Verfassungsbeschwerde ist damit unzulässig ( Art. 113 BGG ).</w:t>
      </w:r>
    </w:p>
    <w:p>
      <w:r>
        <w:rPr>
          <w:b/>
        </w:rPr>
        <w:t>E. 2</w:t>
      </w:r>
    </w:p>
    <w:p>
      <w:r>
        <w:t>In der Beschwerde ist in Auseinandersetzung mit den Erwägungen des angefochtenen Entscheides darzulegen, welche Rechte der Beschwerde führenden Partei durch das kantonale Gericht verletzt worden sind ( Art. 42 Abs. 2 BGG ; BGE 134 II 244 E. 2.1 S. 245), wobei eine allfällige Verletzung verfassungsmässiger Rechte vom Bundesgericht nicht von Amtes wegen, sondern nur dann geprüft wird, wenn solche Rügen in der Beschwerdeschrift ausdrücklich erhoben und begründet werden ( Art. 106 Abs. 2 BGG ; BGE 135 III 232 E. 1.2 S. 234). Wird eine Sachverhaltsfeststellung beanstandet, muss in der Beschwerdeschrift dargelegt werden, inwiefern diese Feststellung willkürlich oder durch eine andere Rechtsverletzung im Sinn von Art. 95 BGG (z.B. Art. 29 Abs. 2 BV oder Art. 8 ZGB ) zustande gekommen ist (vgl. BGE 133 II 249 E. 1.2.2 und 1.4.3 S. 255) und inwiefern die Behebung des Mangels für den Ausgang des Verfahrens entscheidend sein kann (Art. 97 Abs. 1 in fine BGG; BGE 135 I 19 E. 2.2.2 S. 22). Auf rein appellatorische Kritik am Sachverhalt tritt das Bundesgericht nicht ein. Neue Tatsachen sind unzulässig ( Art. 99 Abs. 1 BGG ).</w:t>
      </w:r>
    </w:p>
    <w:p>
      <w:r>
        <w:rPr>
          <w:b/>
        </w:rPr>
        <w:t>E. 3</w:t>
      </w:r>
    </w:p>
    <w:p>
      <w:r>
        <w:t>Das Bundesrecht äussert sich nicht zur Frage, wie die Gerichtskosten und Parteientschädigungen des kantonalen Verfahrens betreffend Erlass von Kindesschutzmassnahmen zu verlegen sind. Diese Frage beantwortet sich aufgrund des in Art. 450f ZGB enthaltenen Verweises nach dem in der Sache anwendbaren kantonalen Recht ( BGE 140 III 167 E. 2.3 S. 169; 140 III 385 E. 2.3 S. 386 f.), dessen Anwendung das Bundesgericht nur auf Willkür prüft ( BGE 140 III 385 E. 2.3 S. 387; 138 IV 13 E. 2; 134 III 379 E. 1.2 S. 382/383). Die Beschwerdeführerin hat somit in der Beschwerde klar und detailliert aufzuzeigen, inwiefern die Anwendung des einschlägigen kantonalen Rechts durch die Vorinstanz im konkreten Fall geradezu willkürlich sein soll.</w:t>
      </w:r>
    </w:p>
    <w:p>
      <w:r>
        <w:rPr>
          <w:b/>
        </w:rPr>
        <w:t>E. 4.1</w:t>
      </w:r>
    </w:p>
    <w:p>
      <w:r>
        <w:t>Das Kantonsgericht hat angesichts des Obsiegens der Beschwerdeführerin auf die Erhebung amtlicher Kosten in der Höhe von Fr. 1'500.-- (inkl. Fr. 700.- Kosten für die Prozessvertretung des Sohnes B.________) verzichtet. Dennoch hat es den in den Verfahren 3H 14 104 und 3H 14 107 geleisteten Kostenvorschuss von Fr. 500.-- der Beschwerdeführerin nur im Umfang von Fr. 300.-- zurückerstattet und den restlichen Betrag von Fr. 200.-- als Kostenvorschuss für andere Verfahren (3H 14 105 und 3H 14 106 Paralellverfahren betreffend C.________) zurückbehalten.</w:t>
      </w:r>
    </w:p>
    <w:p>
      <w:r>
        <w:rPr>
          <w:b/>
        </w:rPr>
        <w:t>E. 4.2</w:t>
      </w:r>
    </w:p>
    <w:p>
      <w:r>
        <w:t>Die Beschwerdeführerin verlangt zwar die Rückerstattung des vollen Gerichtskostenvorschusses, beruft sich aber in diesem Zusammenhang nicht auf das Willkürverbot und sagt auch nicht, inwiefern der angefochtene Entscheid in der Begründung und Im Ergebnis willkürlich sein könnte. Darauf ist nicht einzutreten.</w:t>
      </w:r>
    </w:p>
    <w:p>
      <w:r>
        <w:rPr>
          <w:b/>
        </w:rPr>
        <w:t>E. 5.1</w:t>
      </w:r>
    </w:p>
    <w:p>
      <w:r>
        <w:t>Sodann hat das Kantonsgericht der obsiegenden Beschwerdeführerin keine Parteientschädigung zugesprochen mit der Begründung, die KESB habe zu Recht den Ersatz von Kindesschutzmassnahmen geprüft und ein entsprechendes Beweisverfahren durchgeführt. Die Gutheissung der Beschwerde erfolge vorab wegen neuer Beurteilung im heutigen Zeitpunkt, weshalb der Vorinstanz keine groben Verfahrensfehler oder eine offenbare Rechtsverletzung im Sinne von § 201 Abs. 2 VRG/LU vorgeworfen werden könnten.</w:t>
      </w:r>
    </w:p>
    <w:p>
      <w:r>
        <w:rPr>
          <w:b/>
        </w:rPr>
        <w:t>E. 5.2</w:t>
      </w:r>
    </w:p>
    <w:p>
      <w:r>
        <w:t>Nach § 201 Abs. 2 des luzernischen Gesetzes über die Verwaltungsrechtspflege vom 3. Juli 1972 (SRL Nr. 40; VRG/LU) wird der obsiegenden Partei zu Lasten des Gemeinwesens, dem die Vorinstanz angehört, eine angemessene Vergütung für ihre Vertretungskosten zugesprochen, wenn der Vorinstanz grobe Verfahrensfehler oder offenbare Rechtsverletzungen zur Last fallen.</w:t>
      </w:r>
    </w:p>
    <w:p>
      <w:r>
        <w:rPr>
          <w:b/>
        </w:rPr>
        <w:t>E. 5.3</w:t>
      </w:r>
    </w:p>
    <w:p>
      <w:r>
        <w:t>Die Beschwerdeführerin beanstandet zwar eine Verletzung des rechtlichen Gehörs ( Art. 29 Abs. 2 BV ) sowie eine Verletzung von Art. 6 BV und des in § 4 der luzernischen Verfassung enthaltenen Grundsatzes der Subsidiarität. Sie rügt aber bezüglich der nicht entrichteten Parteientschädigung keine willkürliche Anwendung kantonalen Rechts ( Art. 9 BV ) und bezeichnet den angefochtenen Entscheid auch nicht als willkürlich. Insbesondere geht sie nicht auf die Erwägung des vorinstanzlichen Entscheides ein, wonach die Gutheissung der Verwaltungsgerichtsbeschwerde vor allem aufgrund neuer Beurteilung im heutigen Zeitpunkt erfolgt sei. Insgesamt zeigt sie somit nicht der bundesgerichtlichen Rechtsprechung folgend auf, inwiefern die Vorinstanz bei der Anwendung von § 201 Abs. 2 VRG/LU in Willkür verfallen sein soll.</w:t>
      </w:r>
    </w:p>
    <w:p>
      <w:r>
        <w:rPr>
          <w:b/>
        </w:rPr>
        <w:t>E. 5.4</w:t>
      </w:r>
    </w:p>
    <w:p>
      <w:r>
        <w:t>Soweit die Beschwerdeführerin eine Verletzung des rechtlichen Gehörs ( Art. 29 Abs. 2 BV ) behauptet, gilt es darauf hinzuweisen, dass das Kantonsgericht eine entsprechende Verletzung verneint hat. Im Übrigen kommt dieser Rüge sowie jener der Verletzung von Art. 6 BV und des Subsidiaritätsgrundsatzes gemäss § 4 der Kantonsverfassung keine selbstständige Bedeutung zu, zumal es hier nur noch um die Kosten- und Entschädigungsfrage und nicht mehr um die Sache selbst geht.</w:t>
      </w:r>
    </w:p>
    <w:p>
      <w:r>
        <w:rPr>
          <w:b/>
        </w:rPr>
        <w:t>E. 6</w:t>
      </w:r>
    </w:p>
    <w:p>
      <w:r>
        <w:t>Damit ist auf die Beschwerde nicht einzutreten. Bei diesem Ausgang des Verfahrens wird die Beschwerdeführerin kostenpflichtig ( Art. 66 Abs. 1 BGG ). Die verfügende Behörde, welche nicht Partei ist ( BGE 140 III 353 E. 4.2), hat kein Anrecht auf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