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996/2022 vom 3. Januar 2023</w:t>
      </w:r>
    </w:p>
    <w:p>
      <w:r>
        <w:t>Bundesgericht, 2023-01-03, DE</w:t>
      </w:r>
    </w:p>
    <w:p>
      <w:r>
        <w:rPr>
          <w:b/>
        </w:rPr>
        <w:t xml:space="preserve">Quelle: </w:t>
      </w:r>
      <w:r>
        <w:t>https://mcp.opencaselaw.ch/entscheid/bger_5A_996_2022</w:t>
      </w:r>
    </w:p>
    <w:p>
      <w:r>
        <w:t>FR: TF 5A 996/2022 du 3 janvier 2023</w:t>
      </w:r>
    </w:p>
    <w:p>
      <w:r>
        <w:t>IT: TF 5A 996/2022 del 3 gennaio 2023</w:t>
      </w:r>
    </w:p>
    <w:p>
      <w:pPr>
        <w:pStyle w:val="Heading2"/>
      </w:pPr>
      <w:r>
        <w:t>Regeste</w:t>
      </w:r>
    </w:p>
    <w:p>
      <w:r>
        <w:t>Pfändungsankündigung | Schuldbetreibungs- und Konkursrecht</w:t>
      </w:r>
    </w:p>
    <w:p>
      <w:pPr>
        <w:pStyle w:val="Heading2"/>
      </w:pPr>
      <w:r>
        <w:t>Erwägungen</w:t>
      </w:r>
    </w:p>
    <w:p>
      <w:r>
        <w:rPr>
          <w:b/>
        </w:rPr>
        <w:t>E. 1</w:t>
      </w:r>
    </w:p>
    <w:p>
      <w:r>
        <w:t>Die Beschwerde hat ein Rechtsbegehren zu enthalten ( Art. 42 Abs. 1 BGG ), wobei dieses angesichts der reformatorischen Natur der Beschwerde (vgl. Art. 107 Abs. 2 BGG ) nicht darauf beschränkt sein darf, die Aufhebung oder Kassation des angefochtenen Entscheides zu verlangen; vielmehr ist ein Antrag in der Sache zu stellen ( BGE 133 III 489 E. 3.1; 134 III 379 E. 1.3; 137 II 313 E. 1.3). Die Beschwerde hat sodann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1 ist (wie bereits im kantonalen Beschwerdeverfahren) als Ehemann der Beschwerdeführerin 2 in Bezug auf die allein gegen diese gerichtete Betreibung bzw. Pfändung nicht im Sinn von Art. 76 Abs. 1 lit. b BGG beschwerdelegitimiert. Sodann fehlt es der Beschwerde an einem reformatorischen Rechtsbegehren in der Sache. Schliesslich beschränkt sich die Beschwerdebegründung auf die Bitte, das Betreibungsamt und die Aufsichtsbehörde anzuweisen, die in den Zahlungsbefehlen aufgeführten Forderungen zu korrigieren bzw. zu sistieren, weil weder das Betreibungsamt noch die Aufsichtsbehörde auf die gemachten Hinweise eingegangen sei. Abgesehen davon, dass vorliegend nicht die Zahlungsbefehle, sondern die Pfändungsankündigung den Anfechtungsgegenstand bildet, nimmt die Beschwerdebegründung mit keinem Wort auf die Erwägungen des angefochtenen Entscheides Bezug.</w:t>
      </w:r>
    </w:p>
    <w:p>
      <w:r>
        <w:rPr>
          <w:b/>
        </w:rPr>
        <w:t>E. 3</w:t>
      </w:r>
    </w:p>
    <w:p>
      <w:r>
        <w:t>Nach dem Gesagten erweist sich die Beschwerde in Bezug auf den Beschwerdeführer 1 als offensichtlich unzulässig und im Übrigen als offensichtlich nicht hinreichend begründet, weshalb auf sie nicht eingetreten werden kann und im vereinfachten Verfahren nach Art. 108 Abs. 1 lit. a und b BGG zu entscheiden ist.</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