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5A_995/2020 vom 23. Dezember 2020</w:t>
      </w:r>
    </w:p>
    <w:p>
      <w:r>
        <w:t>Bundesgericht, 2020-12-23, FR</w:t>
      </w:r>
    </w:p>
    <w:p>
      <w:r>
        <w:rPr>
          <w:b/>
        </w:rPr>
        <w:t xml:space="preserve">Quelle: </w:t>
      </w:r>
      <w:r>
        <w:t>https://mcp.opencaselaw.ch/entscheid/bger_5A_995_2020</w:t>
      </w:r>
    </w:p>
    <w:p>
      <w:r>
        <w:t>FR: TF 5A_995/2020 du 23 décembre 2020</w:t>
      </w:r>
    </w:p>
    <w:p>
      <w:r>
        <w:t>IT: TF 5A_995/2020 del 23 dicembre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21 août 2020, le Juge de paix du district de Lausanne a, en bref, refusé d'autoriser le curateur à immatriculer un véhicule au nom de A.________ (</w:t>
      </w:r>
    </w:p>
    <w:p>
      <w:r>
        <w:t>personne concernée ), aux fins d'évacuer les "</w:t>
      </w:r>
    </w:p>
    <w:p>
      <w:r>
        <w:t>trente tonnes de matériel " se trouvant dans des locaux qui avaient été pris à bail par le prénommé, et statué sur le sort de ces biens.</w:t>
      </w:r>
    </w:p>
    <w:p>
      <w:r>
        <w:t>Par arrêt du 3 novembre 2020, la Chambre des curatelles du Tribunal cantonal du canton de Vaud a confirmé cette décision.</w:t>
      </w:r>
    </w:p>
    <w:p>
      <w:r>
        <w:rPr>
          <w:b/>
        </w:rPr>
        <w:t>E. 2</w:t>
      </w:r>
    </w:p>
    <w:p>
      <w:r>
        <w:t>Par écriture expédiée le 29 novembre 2020, la personne concernée exerce un recours au Tribunal fédéral contre l'arrêt cantonal.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du recourant est traitée en tant que recours en matière civile au sens de l'art. 72 al. 2 let. b ch. 6 LTF.</w:t>
      </w:r>
    </w:p>
    <w:p>
      <w:r>
        <w:rPr>
          <w:b/>
        </w:rPr>
        <w:t>E. 4.1</w:t>
      </w:r>
    </w:p>
    <w:p>
      <w:r>
        <w:t>En l'espèce, la cour cantonale a retenu que la personne concernée n'a proposé "</w:t>
      </w:r>
    </w:p>
    <w:p>
      <w:r>
        <w:t>aucune solution réaliste " pour évacuer et conserver ses trente tonnes d'affaires entreposées dans les locaux de U.________. Compte tenu de son expulsion, si rien n'est entrepris, tout le contenu du local serait jeté par la commune sans distinction, alors qu'il pourrait y avoir des objets de valeur dont la vente permettrait de tirer un certain profit, le reste étant évacué à meilleur compte. En outre, la facture relative au débarras incombera à l'intéressé, dont la situation est obérée. Dès lors, force est de constater qu'il n'y a guère d'autres solutions d'un point de vue économique, malgré l'atteinte que représente la liquidation de ces affaires. Enfin, les accusations de "</w:t>
      </w:r>
    </w:p>
    <w:p>
      <w:r>
        <w:t>corruption " et de "</w:t>
      </w:r>
    </w:p>
    <w:p>
      <w:r>
        <w:t>malveillance " ne sont pas étayées et ne reposent sur aucune preuve.</w:t>
      </w:r>
    </w:p>
    <w:p>
      <w:r>
        <w:rPr>
          <w:b/>
        </w:rPr>
        <w:t>E. 4.2</w:t>
      </w:r>
    </w:p>
    <w:p>
      <w:r>
        <w:t>Le recourant ne réfute pas les motifs de la juridiction précédente, mais se déclare "</w:t>
      </w:r>
    </w:p>
    <w:p>
      <w:r>
        <w:t>victime de la manipulation de différents dossiers et expertises ", conteste la mesure de protection prononcée en sa faveur et les conséquences qu'elle entraîne quant à sa situation, s'en prend à la façon dont le curateur accomplit sa tâche et reproche au juge de paix de faire preuve de partialité en couvrant les "</w:t>
      </w:r>
    </w:p>
    <w:p>
      <w:r>
        <w:t>agissements criminels du curateur ". Dépourvu de griefs motivés conformément aux exigences légales (art. 42 al. 2 et 106 al. 2 LTF; ATF 142 III 364 consid. 2.4) et circonscrits à l'objet du litige ( ATF 142 I 155 consid. 4.4.2), le recours doit dès lors être écarté d'emblée.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). Il convient de statuer sans frais judiciaires (art. 66 al. 1, 2ème phrase,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