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5A_995/2019 vom 18. Dezember 2019</w:t>
      </w:r>
    </w:p>
    <w:p>
      <w:r>
        <w:t>Bundesgericht, 2019-12-18, DE</w:t>
      </w:r>
    </w:p>
    <w:p>
      <w:r>
        <w:rPr>
          <w:b/>
        </w:rPr>
        <w:t xml:space="preserve">Quelle: </w:t>
      </w:r>
      <w:r>
        <w:t>https://mcp.opencaselaw.ch/entscheid/bger_5A_995_2019</w:t>
      </w:r>
    </w:p>
    <w:p>
      <w:r>
        <w:t>FR: TF 5A_995/2019 du 18 décembre 2019</w:t>
      </w:r>
    </w:p>
    <w:p>
      <w:r>
        <w:t>IT: TF 5A_995/2019 del 18 dicembre 2019</w:t>
      </w:r>
    </w:p>
    <w:p>
      <w:pPr>
        <w:pStyle w:val="Heading2"/>
      </w:pPr>
      <w:r>
        <w:t>Erwägungen</w:t>
      </w:r>
    </w:p>
    <w:p>
      <w:r>
        <w:rPr>
          <w:b/>
        </w:rPr>
        <w:t>E. 1</w:t>
      </w:r>
    </w:p>
    <w:p>
      <w:r>
        <w:t>Anfechtungsobjekt bildet wie gesagt der obergerichtliche Entscheid vom 12. November 2019, welcher die Ausstandsfrage im Scheidungsverfahren zum Gegenstand hat. Dagegen kann grundsätzlich Beschwerde geführt werden ( Art. 92 Abs. 1 BGG ), weshalb das "Gesuch um superprovisorische und vorsorgliche Massnahmen" als solche entgegenzunehmen ist.</w:t>
      </w:r>
    </w:p>
    <w:p>
      <w:r>
        <w:rPr>
          <w:b/>
        </w:rPr>
        <w:t>E. 2</w:t>
      </w:r>
    </w:p>
    <w:p>
      <w:r>
        <w:t>Soweit jedoch mehr oder anderes verlangt wird, als von der Vorinstanz beurteilt wurde, kann auf die Beschwerde von vornherein nicht eingetreten werden ( BGE 136 II 457 E. 4.2 S. 462 f.; 136 V 362 E. 3.4.2 S. 365 ; 142 I 155 E. 4.4.2 S. 156).</w:t>
      </w:r>
    </w:p>
    <w:p>
      <w:r>
        <w:t>Dies betrifft die Begehren um Prüfung der Prozessvoraussetzungen für die Scheidungsklage und der Zuständigkeit des Regionalgerichtes für die vorsorglichen Massnahmen (Ziff. 1) sowie um Sistierung sämtlicher Rechtsakte im Zusammenhang mit der Scheidungsklage (Ziff. 3).</w:t>
      </w:r>
    </w:p>
    <w:p>
      <w:r>
        <w:t>Das Begehren um "Prüfung der Rechtmässigkeit des durchgeführten Ausstandsverfahrens beim Regionalgericht Bern-Mittelland und im Beschwerde-Ausstandsverfahren beim Obergericht des Kantons Bern gegen den Gerichtspräsidenten B.________ bei fehlendem Hauptverfahren" kann bei grosszügiger Auslegung als sachgerichtet angesehen und dahingehend interpretiert werden, dass der angefochtene Entscheid aufgehoben und der Ausstand des Gerichtspräsidenten B.________ bejaht werden soll.</w:t>
      </w:r>
    </w:p>
    <w:p>
      <w:r>
        <w:rPr>
          <w:b/>
        </w:rPr>
        <w:t>E. 3</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t>Eine solche Auseinandersetzung erfolgt nicht - es wird vielmehr geltend gemacht, die Scheidungsklage sei rechtsungültig und damit beim Regionalgericht gar kein Scheidungsverfahren hängig; die rechtswidrige Scheidungsklage werde missbraucht, um ungültige vorsorgliche Massnahmen zu verlangen - und es ist auch nicht erkennbar, inwiefern Befangenheitsgründe im Sinn von Art. 47 Abs. 1 lit. f ZPO vorliegen sollen und das Obergericht in diesem Zusammenhang Recht verletzt haben könnte.</w:t>
      </w:r>
    </w:p>
    <w:p>
      <w:r>
        <w:rPr>
          <w:b/>
        </w:rPr>
        <w:t>E. 4</w:t>
      </w:r>
    </w:p>
    <w:p>
      <w:r>
        <w:t>Nach dem Gesagten ist auf die Beschwerde im vereinfachten Verfahren nach Art. 108 Abs. 1 lit. a und b BGG nicht einzutreten.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