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995/2018 vom 7. Oktober 2019</w:t>
      </w:r>
    </w:p>
    <w:p>
      <w:r>
        <w:t>Bundesgericht, 2019-10-07, FR</w:t>
      </w:r>
    </w:p>
    <w:p>
      <w:r>
        <w:rPr>
          <w:b/>
        </w:rPr>
        <w:t xml:space="preserve">Quelle: </w:t>
      </w:r>
      <w:r>
        <w:t>https://mcp.opencaselaw.ch/entscheid/bger_5A_995_2018</w:t>
      </w:r>
    </w:p>
    <w:p>
      <w:r>
        <w:t>FR: TF 5A 995/2018 du 7 octobre 2019</w:t>
      </w:r>
    </w:p>
    <w:p>
      <w:r>
        <w:t>IT: TF 5A 995/2018 del 7 ottobre 2019</w:t>
      </w:r>
    </w:p>
    <w:p>
      <w:pPr>
        <w:pStyle w:val="Heading2"/>
      </w:pPr>
      <w:r>
        <w:t>Regeste</w:t>
      </w:r>
    </w:p>
    <w:p>
      <w:r>
        <w:t>certificat d'héritier | Droit des successions</w:t>
      </w:r>
    </w:p>
    <w:p>
      <w:pPr>
        <w:pStyle w:val="Heading2"/>
      </w:pPr>
      <w:r>
        <w:t>Erwägungen</w:t>
      </w:r>
    </w:p>
    <w:p>
      <w:r>
        <w:rPr>
          <w:b/>
        </w:rPr>
        <w:t>E. 1</w:t>
      </w:r>
    </w:p>
    <w:p>
      <w:r>
        <w:t>L'établissement et la délivrance d'un certificat d'héritier relève de la juridiction gracieuse ( ATF 118 II 108 consid. 1; arrêts 5A_533/2015 du 7 décembre 2015 consid. 1; 5A_800/2013 du 18 février 2014 consid. 1.2). La cause est de nature pécuniaire, dès lors que la requête vise un but économique (arrêts 5A_395/2010 du 22 octobre 2010 consid. 1.2.2; 4A_584/2008 du 13 mars 2009 consid. 1.1 non publié aux ATF 135 III 304 ) et la valeur litigieuse est en l'espèce manifestement atteinte (art. 51 al. 2 et 74 al. 1 let. b LTF). Le présent recours a en outre été déposé dans la forme requise ( art. 42 LTF ) par une partie ayant pris part à la procédure devant l'autorité précédente et ayant un intérêt à l'annulation ou à la modification de la décision attaquée ( art. 76 al. 1 LTF ), contre une décision prise sur recours par un tribunal supérieur statuant en dernière instance cantonale ( art. 75 al. 1 et 2 LTF ). Le recours en matière civile est donc en principe recevable au regard de ces dispositions.</w:t>
      </w:r>
    </w:p>
    <w:p>
      <w:r>
        <w:rPr>
          <w:b/>
        </w:rPr>
        <w:t>E. 2.1</w:t>
      </w:r>
    </w:p>
    <w:p>
      <w:r>
        <w:t>Le recours est dirigé contre une décision statuant sur une requête en annulation, respectivement en privation d'effet, d'un certificat d'hérédité antérieurement délivré, à savoir une procédure qui n'a pas pour objet de statuer matériellement sur la qualité d'héritier, partant, qui constitue une procédure de mesures provisionnelles au sens de l' art. 98 LTF (arrêt 5A_252/2019 du 7 juin 2016 consid. 1.2 et les références). Il s'ensuit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soulève un grief d'arbitraire ( art. 9 Cst. ) dans l'appréciation des preuves en lien avec l'acte de notoriété du 25 mai 2012. Il fait valoir que ledit acte n'est pas contesté et qu'il jouit de la même valeur probante que le certificat d'héritier du 7 mai 2003, en sorte que la présence d'héritiers ab intestat exclut la collectivité publique héritière au sens de l' art. 466 CC . En l'occurrence, le recourant perd de vue qu'un certificat d'héritier n'a pas pour objet de statuer matériellement sur la qualité d'héritier, partant, qu'il n'est pas revêtu de l'autorité de la chose jugée matérielle (cf. supra consid. 2.1). L'acte de notoriété du 25 mai 2012 est ainsi pertinent dans le cadre de la procédure pendante devant la Chambre patrimoniale. Dans l'arrêt attaqué, la Chambre des recours civile a constaté que la qualité d'héritiers de l'État de Vaud et de la Commune de U.________ était litigieuse, mais a retenu qu'au vu de son caractère provisoire, sans portée matérielle, le certificat d'héritier délivré en Suisse ne pouvait pas être d'ores et déjà annulé afin que les envoyés en possession demeurent protégés durant la procédure, en sorte qu'il se justifiait d'attendre la fin de la procédure pendante au fond devant la Chambre patrimoniale. Il s'ensuit que la cour cantonale, bien qu'elle conteste le fait que l'acte de notoriété ait une portée similaire au certificat d'héritier, n'a ni omis de tenir compte de cet acte de notoriété, ni ne s'est trompée sur sa portée éventuellement de nature à remettre en cause la qualité d'héritiers de l'État de Vaud et de la Commune de U.________, ni n'a tiré de constatations insoutenables à cet égard (cf. supra consid. 2.2). Le grief est ainsi mal fondé et doit être rejeté.</w:t>
      </w:r>
    </w:p>
    <w:p>
      <w:r>
        <w:rPr>
          <w:b/>
        </w:rPr>
        <w:t>E. 4</w:t>
      </w:r>
    </w:p>
    <w:p>
      <w:r>
        <w:t>Dans un grief d'établissement arbitraire des faits ( art. 9 Cst. ), le recourant reproche à la Chambre des recours civile de ne pas avoir retenu que feu B.________ était juive et apatride, dès lors que le droit allemand en vigueur sous le régime nazi prévoyait que les ressortissants juifs qui quittaient l'Allemagne perdaient leur nationalité. Ces éléments seraient importants pour trancher la question de l'applicabilité des Principes de Washington et de la Déclaration de Terezin. Il apparaît que la cour cantonale a estimé que ces éléments n'avaient aucune influence sur le sort de la cause et que le recourant ne démontrait pas le contraire. En l'espèce, les faits permettant de déterminer l'applicabilité des Principes adoptés le 3 décembre 1998 lors de la Conférence de Washington applicables aux oeuvres d'art confisquées par les nazis (" Holocaust Era Assets "; ci-après : Principes de Washington)et de la Déclaration de Terezin sont effectivement dénués de pertinence dans le cadre de la présente procédure relative à l'annulation, respectivement à la privation d'effet, d'un certificat d'héritier de nature provisoire délivré par les autorités suisses, alors que les intimés sont déjà entrés en possession des biens successoraux depuis plus de dix ans. Le recourant n'allègue pas, ni a fortiori n'établit, que les Principes de la Conférence de Washington applicables aux oeuvres d'art confisquées par les nazis seraient au surplus applicables à la présente cause, qu'ils seraient d'application directe et que l'annulation du certificat d'héritier du 7 mai 2003 serait l'unique obstacle à leur application effective. Faute de démontrer la pertinence des faits et leur influence sur le sort de la cause, le grief d'établissement arbitraire ( art. 9 Cst. ) des faits est voué à l'échec et doit donc être rejeté.</w:t>
      </w:r>
    </w:p>
    <w:p>
      <w:r>
        <w:rPr>
          <w:b/>
        </w:rPr>
        <w:t>E. 5</w:t>
      </w:r>
    </w:p>
    <w:p>
      <w:r>
        <w:t>Pour le surplus, dans la mesure où le recourant invoque une violation des art. 2 al. 2, 466, 555 et 559 CC, ainsi que les Principes de Washington, il ne fait valoir aucun grief recevable dans le cadre d'un recours soumis à l' art. 98 LTF (cf. supra consid. 2.1; art. 106 al. 2 LTF ). Le recours est donc d'emblée irrecevable à cet égard.</w:t>
      </w:r>
    </w:p>
    <w:p>
      <w:r>
        <w:rPr>
          <w:b/>
        </w:rPr>
        <w:t>E. 6</w:t>
      </w:r>
    </w:p>
    <w:p>
      <w:r>
        <w:t>En définitive, le recours doit être rejeté dans la mesure de sa recevabilité. Les frais judiciaires, arrêtés à 2'000 fr., sont mis à la charge du recourant qui succombe ( art. 66 al. 1 LTF ). Il n'y a pas lieu d'allouer de dépens aux intimés, qui n'ont au demeurant pas été invités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