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5A_993/2023 vom 5. Januar 2024</w:t>
      </w:r>
    </w:p>
    <w:p>
      <w:r>
        <w:t>Bundesgericht, 2024-01-05, DE</w:t>
      </w:r>
    </w:p>
    <w:p>
      <w:r>
        <w:rPr>
          <w:b/>
        </w:rPr>
        <w:t xml:space="preserve">Quelle: </w:t>
      </w:r>
      <w:r>
        <w:t>https://mcp.opencaselaw.ch/entscheid/bger_5A_993_2023</w:t>
      </w:r>
    </w:p>
    <w:p>
      <w:r>
        <w:t>FR: TF 5A_993/2023 du 5 janvier 2024</w:t>
      </w:r>
    </w:p>
    <w:p>
      <w:r>
        <w:t>IT: TF 5A_993/2023 del 5 gennaio 2024</w:t>
      </w:r>
    </w:p>
    <w:p>
      <w:pPr>
        <w:pStyle w:val="Heading2"/>
      </w:pPr>
      <w:r>
        <w:t>Erwägungen</w:t>
      </w:r>
    </w:p>
    <w:p>
      <w:r>
        <w:rPr>
          <w:b/>
        </w:rPr>
        <w:t>E. 1</w:t>
      </w:r>
    </w:p>
    <w:p>
      <w:r>
        <w:t>Der Beschwerdeführer reichte beim Bezirksgericht Schwyz am 20. November 2023 eine mit "Revision gegen Verfügung vom 03. Juni 2020 ZES 2020 213" betitelte Rechtsschrift ein. Das Bezirksgericht nahm das Gesuch als Abänderungsbegehren entgegen, sofern es nicht um Anträge betreffend Scheidungsnebenfolgen gehen sollte. Das Bezirksgericht trat mit Verfügung vom 4. Dezember 2023 auf das Gesuch mangels Zuständigkeit (sowohl betreffend Massnahmen wie auch betreffend Scheidungsnebenfolgen) nicht ein.</w:t>
      </w:r>
    </w:p>
    <w:p>
      <w:r>
        <w:t>Dagegen erhob der Beschwerdeführer am 12. Dezember 2023 Berufung. Mit Verfügung vom 22. Dezember 2023 trat das Kantonsgericht Schwyz auf die Berufung mangels genügender Begründung nicht ein.</w:t>
      </w:r>
    </w:p>
    <w:p>
      <w:r>
        <w:t>Dagegen hat der Beschwerdeführer am 28. Dezember 2023 (Postaufgabe) Beschwerde an das Bundesgericht erhoben.</w:t>
      </w:r>
    </w:p>
    <w:p>
      <w:r>
        <w:rPr>
          <w:b/>
        </w:rPr>
        <w:t>E. 2</w:t>
      </w:r>
    </w:p>
    <w:p>
      <w:r>
        <w:t>Angefochten ist ein Nichteintretensentscheid. Thema des bundesgerichtlichen Verfahrens ist demnach grundsätzlich nur, ob das Kantonsgericht zu Recht auf die Berufung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äussert sich zwar zu den Begründungsanforderungen, doch beziehen sich die entsprechenden Ausführungen in erster Linie auf die Verfügung des Kantonsgerichts vom 19. Oktober 2023 im Verfahren ZK2 2023 67. Auf die gegen diese Verfügung erhobene Beschwerde trat das Bundesgericht mit Urteil 5A_800/2023 vom 24. Oktober 2023 nicht ein. Gegen jene Verfügung kann nicht nochmals Beschwerde erhoben werden. Gegenstand des vorliegenden Verfahrens ist einzig die Verfügung vom 22. Dezember 2023 im Verfahren ZK2 2023 87. Soweit sich der Beschwerdeführer zu anderen Verfügungen und zu Themen äussert, die nicht Gegenstand der Verfügung vom 22. Dezember 2023 waren (insbesondere zur Obhut), ist darauf nicht einzugehen. In Bezug auf die soeben genannte Verfügung macht der Beschwerdeführer zwar geltend, in den Eingaben gebe es Begründungen, aus welchem Grund was als fehlerhaft erachtet werde, unzutreffende Angaben der Vorinstanz seien erwähnt worden, die Gesetze dürften von Amtes wegen angewendet werden und die Begründung sei laufend verbessert worden. Damit kann er jedoch nicht aufzeigen, inwiefern die kantonsgerichtliche Erwägung fehlerhaft sein soll, wonach seine Berufung den Begründungsanforderungen nicht genügte. Er geht auch nicht auf die kantonsgerichtliche Erwägung ein, wonach das Recht nur von Amtes wegen angewendet wird, wenn die Berufung ausreichend begründet ist.</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