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5A_993/2017 vom 13. Dezember 2017</w:t>
      </w:r>
    </w:p>
    <w:p>
      <w:r>
        <w:t>Bundesgericht, 2017-12-13, FR</w:t>
      </w:r>
    </w:p>
    <w:p>
      <w:r>
        <w:rPr>
          <w:b/>
        </w:rPr>
        <w:t xml:space="preserve">Quelle: </w:t>
      </w:r>
      <w:r>
        <w:t>https://mcp.opencaselaw.ch/entscheid/bger_5A_993_2017</w:t>
      </w:r>
    </w:p>
    <w:p>
      <w:r>
        <w:t>FR: TF 5A_993/2017 du 13 décembre 2017</w:t>
      </w:r>
    </w:p>
    <w:p>
      <w:r>
        <w:t>IT: TF 5A_993/2017 del 13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23 novembre 2017, la Cour des poursuites et faillites du Tribunal cantonal du canton de Vaud, en qualité d'autorité supérieure de surveillance, a rejeté le recours interjeté par A.________ le 16 septembre 2017 et confirmé la décision rendue le 8 septembre 2017 par la Présidente du Tribunal d'arrondissement de la Broye et du Nord vaudois, en qualité d'autorité inférieure de surveillance, déclarant irrecevable la plainte formée par A.________ le 4 septembre 2017 tendant à l'annulation de l'adjudication de son immeuble vendu aux enchères publiques par l'Office des poursuites du district du Jura-Nord vaudois le 20 janvier 2017.</w:t>
      </w:r>
    </w:p>
    <w:p>
      <w:r>
        <w:rPr>
          <w:b/>
        </w:rPr>
        <w:t>E. 2</w:t>
      </w:r>
    </w:p>
    <w:p>
      <w:r>
        <w:t>Par acte du 7 décembre 2017, A.________ exerce un recours en matière civile devant le Tribunal fédéral, concluant à l'annulation de la vente aux enchères de son immeuble.</w:t>
      </w:r>
    </w:p>
    <w:p>
      <w:r>
        <w:t>Après un long exposé de sa version des faits, la recourante invoque l' art. 66 ORFI , son droit d'être entendu ( art. 29 al. 2 Cst. ), son droit à la propriété ( art. 26 Cst. ) et la prohibition de l'arbitraire ( art. 9 Cst. ), soutenant que l'inscription au Registre foncier du transfert de propriété a été réalisée en violation de l'effet suspensif attaché à sa plainte, que l'autorité précédente a statué à huis clos, que l'adjudication de son immeuble à une société cache en réalité l'adjudication au petit-fils des anciens propriétaires de son immeuble, et que sa voisine lui a porté préjudice dans le cadre de la vente de sa propriété. Ce faisant, bien qu'elle se réfère à ses garanties constitutionnelles, la recourante ne discute pas, et</w:t>
      </w:r>
    </w:p>
    <w:p>
      <w:r>
        <w:t>a fortiori ne démontre pas, que le raisonnement de la décision cantonale querellée serait contraire au droit ou à la Constitution. Il s'ensuit que le présent recours ne satisfait manifestement pas aux exigences minimales de motivation des art. 42 al. 2 et 106 al. 2 LTF.</w:t>
      </w:r>
    </w:p>
    <w:p>
      <w:r>
        <w:t>Cela étant, il sied de rappeler une nouvelle fois à la recourante que le droit d'être entendu ne garantit nullement un droit à être entendu oralement ( ATF 134 I 140 consid. 5.3; 130 II 425 consid. 2.1 et la jurisprudence citée), et l'acte de recours n'expose pas ce qui aurait justifié, en l'espèce, de déroger à ce principe ( ATF 122 II 464 consid. 4c).</w:t>
      </w:r>
    </w:p>
    <w:p>
      <w:r>
        <w:t>Dans ces circonstances, le recours, manifestement irrecevable, doit être traité selon la procédure simplifiée prévue à l' art. 108 al. 1 let. b LTF .</w:t>
      </w:r>
    </w:p>
    <w:p>
      <w:r>
        <w:rPr>
          <w:b/>
        </w:rPr>
        <w:t>E. 3</w:t>
      </w:r>
    </w:p>
    <w:p>
      <w:r>
        <w:t>Les frais judiciaires, arrêtés à 700 fr., sont mis à la charge de la recourante ( art. 66 al. 1 LTF ).</w:t>
      </w:r>
    </w:p>
    <w:p>
      <w:r>
        <w:t>Toute nouvelle écriture du même genre dans cette affaire, singulièrement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