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993/2016 vom 19. Juni 2017</w:t>
      </w:r>
    </w:p>
    <w:p>
      <w:r>
        <w:t>Bundesgericht, 2017-06-19, FR</w:t>
      </w:r>
    </w:p>
    <w:p>
      <w:r>
        <w:rPr>
          <w:b/>
        </w:rPr>
        <w:t xml:space="preserve">Quelle: </w:t>
      </w:r>
      <w:r>
        <w:t>https://mcp.opencaselaw.ch/entscheid/bger_5A_993_2016</w:t>
      </w:r>
    </w:p>
    <w:p>
      <w:r>
        <w:t>FR: TF 5A 993/2016 du 19 juin 2017</w:t>
      </w:r>
    </w:p>
    <w:p>
      <w:r>
        <w:t>IT: TF 5A 993/2016 del 19 giugno 2017</w:t>
      </w:r>
    </w:p>
    <w:p>
      <w:pPr>
        <w:pStyle w:val="Heading2"/>
      </w:pPr>
      <w:r>
        <w:t>Regeste</w:t>
      </w:r>
    </w:p>
    <w:p>
      <w:r>
        <w:t>mesures provisionnelles (retrait du droit de déterminer le lieu de résidence, placement de l'enfant) | Droit de la famille</w:t>
      </w:r>
    </w:p>
    <w:p>
      <w:pPr>
        <w:pStyle w:val="Heading2"/>
      </w:pPr>
      <w:r>
        <w:t>Erwägungen</w:t>
      </w:r>
    </w:p>
    <w:p>
      <w:r>
        <w:rPr>
          <w:b/>
        </w:rPr>
        <w:t>E. 1.1</w:t>
      </w:r>
    </w:p>
    <w:p>
      <w:r>
        <w:t>Le recours a été interjeté en temps utile (art. 100 al. 1 et 46 al. 1 let. c LTF) et dans la forme légale ( art. 42 LTF ), contre une décision finale ( art. 90 LTF ) de nature non pécuniaire, prise en application de normes de droit public dans une matière connexe au droit civil, à savoir en matière de protection de l'enfant (art. 72 al. 2 let. b ch. 6 LTF), rendue sur recours par une autorité supérieure statuant en dernière instance cantonale ( art. 75 al. 1 et 2 LTF ). La recourante a succombé dans ses conclusions devant l'autorité précédente et a un intérêt digne de protection à l'annulation ou à la modification de l'arrêt déféré ( art. 76 al. 1 LTF ). Le recours en matière civile est ainsi en principe recevable.</w:t>
      </w:r>
    </w:p>
    <w:p>
      <w:r>
        <w:rPr>
          <w:b/>
        </w:rPr>
        <w:t>E. 1.2</w:t>
      </w:r>
    </w:p>
    <w:p>
      <w:r>
        <w:t>La procédure de recours devant le Tribunal fédéral ne connaissant pas l'institution du recours joint (FF 2001 4139; ATF 136 II 508 consid. 1.3; 134 III 332 consid. 2.5), les conclusions de B.________ tendant à ce que le foyer qui accueillera sa fille soit situé dans le canton de Vaud et à ce que le Tribunal fédéral désigne à celle-ci un autre curateur que Me Matthieu Genillod, sont irrecevables.</w:t>
      </w:r>
    </w:p>
    <w:p>
      <w:r>
        <w:rPr>
          <w:b/>
        </w:rPr>
        <w:t>E. 1.3</w:t>
      </w:r>
    </w:p>
    <w:p>
      <w:r>
        <w:t>Les faits et pièces postérieurs à l'arrêt entrepris sont d'emblée irrecevables devant le Tribunal fédéral ( ATF 139 III 120 consid. 3.1.2; 133 IV 342 consid. 2.1), indépendamment de leur pertinence pour la présente cause: il en va ainsi notamment de l'attestation d'annonce à la commune de W.________ du 30 novembre 2016, de l'attestation médicale du 28 novembre 2016 et du courrier du SPJ du 1er décembre 2016 produites par la recourante, ainsi que des nombreuses pièces postérieures à la décision cantonale produites par le père à l'appui de ses déterminations. Selon l' art. 99 al. 1 LTF , les faits et moyens de preuve nouveaux sont prohibés; il n'y a exception à cette règle que lorsque c'est la décision de l'autorité précédente qui, pour la première fois, a rendu pertinents ces faits ou moyens de preuve, ce qu'il appartient au recourant de démontrer ( ATF 133 III 393 consid. 3). Il en résulte que l'ensemble des pièces produites devant la Cour de céans, et qui n'auraient pas été versées au dossier cantonal, sont irrecevables, dès lors qu'il n'est pas démontré que leur production aurait été rendue pertinente par l'arrêt entrepris. Il en va de même des nombreux faits mentionnés par les parties, respectivement par le curateur de l'enfant, dans leurs déterminations, qui ne figurent pas dans l'arrêt entrepris et ne font pas l'objet d'un grief dûment motivé (cf. infra consid. 2.2).</w:t>
      </w:r>
    </w:p>
    <w:p>
      <w:r>
        <w:rPr>
          <w:b/>
        </w:rPr>
        <w:t>E. 1.4</w:t>
      </w:r>
    </w:p>
    <w:p>
      <w:r>
        <w:t>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 En l'espèce, la recourante requiert la production du dossier pénal PExxx du Ministère public du Nord vaudois. En l'absence d'éléments dont on puisse inférer des circonstances exceptionnelles qui justifieraient une mesure d'instruction, circonstances dont la recourante ne démontre par ailleurs nullement l'existence, il ne sera pas donné suite à cette requête.</w:t>
      </w:r>
    </w:p>
    <w:p>
      <w:r>
        <w:rPr>
          <w:b/>
        </w:rPr>
        <w:t>E. 2.1</w:t>
      </w:r>
    </w:p>
    <w:p>
      <w:r>
        <w:t>Comme la décision entreprise porte sur des mesures provisionnelles au sens de l' art. 98 LTF ( ATF 134 III 667 consid. 1.1; 133 III 393 consid. 5; 133 III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La cour cantonale a relevé au préalable que C.________ n'avait pas été entendue par l'autorité de protection, alors qu'elle aurait pu l'être compte tenu de son âge (8 ans). Au vu toutefois de l'intensité du conflit parental et de ses répercussions sur l'enfant, ainsi que du mandat du SPJ et du fait que son curateur de représentation a été auditionné, son droit d'être entendue a été considéré comme respecté. Sur le fond, la Chambre des curatelles a considéré que le dossier était émaillé d'avis de professionnels soulignant l'impact totalement délétère du conflit parental sur le développement de l'enfant. Le 3 juillet 2014 déjà, les Dresses D.________ et E.________ de U.________ avaient relevé que les troubles du comportement débutants de l'enfant présentaient un fort risque de complications ultérieures et qu'en cas de persistance du conflit parental sans évolution, C.________ risquait de développer des troubles relationnels. Dans son courrier du 13 avril 2015 et son rapport du 23 novembre 2015, le SPJ avait souligné que l'exposition de l'enfant au conflit parental était constitutive d'une maltraitance majeure et réelle, car elle était prise dans un conflit de loyauté qui lui était totalement dommageable; le SPJ avait indiqué qu'il revenait aux parents de prioriser l'intérêt de leur fille, notamment en entreprenant un suivi thérapeutique. Dans son rapport du 23 novembre 2015, le SPJ s'était en outre réservé de demander une mesure plus incisive de protection de l'enfant, à savoir un placement. Lors de l'audience de l'autorité de protection du 17 mars 2016, le SPJ avait expliqué que si la situation n'évoluait pas dans les six mois à venir, un placement devrait être envisagé. Par courrier du 2 août 2016, le SPJ avait confirmé sa position et constaté que les parents n'avaient toujours pas pris la mesure de l'effet dévastateur de leur conflit sur leur fille, et que le conflit était toujours présent, voire plus important, toute décision de justice étant contestée par l'un ou l'autre parent. Le SPJ avait encore développé ses conclusions dans son rapport complémentaire du 20 septembre 2016, qualifiant le conflit de " véritable maltraitance psychologique ". Il avait souligné que les dernières mesures ordonnées avaient été mises en échec par l'un ou l'autre des parents, que ceux-ci n'avaient pas entrepris le suivi thérapeutique préconisé et qu'ils n'avaient d'ailleurs pas compris qu'il leur revenait d'apaiser le conflit dans l'intérêt de leur fille. Au vu de la situation, il a préconisé de retirer à la mère le droit de déterminer le lieu de résidence de son enfant. La cour cantonale a ajouté que les événements de l'année écoulée illustraient le climat décrit par ces intervenants. Le printemps et l'été 2016 avaient été ponctués de nombreuses requêtes de la part des parents en rétablissement, respectivement suspension du droit de visite. En particulier, la mère avait fait établir un constat médical à la suite d'un droit de visite de l'intimé; de même, au cours de l'été, elle avait refusé de lui remettre l'enfant pour l'exercice du droit de visite. Ces éléments démontraient de façon éloquente que le conflit parental - alimenté par les deux parents - mettait gravement en danger le développement de l'enfant. Celle-ci y était en outre confrontée depuis sa plus tendre enfance. Les parents étaient dans l'impossibilité de remédier à cette situation catastrophique et d'en préserver leur fille, malgré les nombreuses mises en garde émises depuis plus de deux ans. Ils n'avaient en particulier pas saisi la possibilité d'entreprendre la thérapie proposée par le SPJ. Il semblait au contraire que le conflit parental empirait. Au cours de l'été, la recourante avait en particulier ignoré deux décisions judiciaires concernant l'exercice du droit de visite, malgré la menace de la peine prévue à l' art. 292 CP . Dans ces circonstances et au vu de l'échec des démarches entreprises pour protéger l'intérêt de l'enfant, la Chambre des curatelles a considéré que le retrait du droit de déterminer le lieu de résidence de la mère était proportionné. Le premier juge avait dit que le SPJ devait veiller au rétablissement d'un lien progressif et durable de l'enfant avec sa mère et son père et dans ce cadre, s'assurer du suivi de la démarche thérapeutique des parents à H.________, ce qui était conforme à l'art. 27 al. 2 RLProMin. La décision était par ailleurs adaptée à la situation, les parents n'ayant eu de cesse d'alimenter leurs conflits, le père n'ayant plus vu sa fille depuis un certain temps et la mère ayant refusé de se plier à des décisions judiciaires concernant l'exercice du droit de visite.</w:t>
      </w:r>
    </w:p>
    <w:p>
      <w:r>
        <w:rPr>
          <w:b/>
        </w:rPr>
        <w:t>E. 4</w:t>
      </w:r>
    </w:p>
    <w:p>
      <w:r>
        <w:t>La recourante fait grief à la Chambre des curatelles d'avoir arbitrairement violé l' art. 310 CC en lui retirant le droit de déterminer le lieu de résidence de sa fille, le principe de la proportionnalité résultant de cette disposition n'étant pas non plus respecté. Elle invoque aussi la violation des art. 14 Cst. et 8 CEDH.</w:t>
      </w:r>
    </w:p>
    <w:p>
      <w:r>
        <w:rPr>
          <w:b/>
        </w:rPr>
        <w:t>E. 4.1</w:t>
      </w:r>
    </w:p>
    <w:p>
      <w:r>
        <w:t>En substance, elle estime que l'autorité cantonale ne pouvait pas prononcer une telle mesure dès lors qu'il ne ressort pas des faits de la cause que le lieu de vie de l'enfant, respectivement le fait que celle-ci vive avec sa mère, représenterait un danger pour son développement ou sa santé mentale ou physique. S'il est vrai que le conflit parental peut avoir une influence sur l'enfant, l'autorité précédente n'aurait pas expliqué en quoi le placement permettrait d'y remédier, et aucun rapport du SPJ ou d'autres intervenants ne traiterait de la question. En outre, l'argumentation de la cour cantonale selon laquelle la mère n'a pas respecté les décisions relatives au droit de visite du père constituerait une violation de l' art. 310 CC , dans la mesure où les conflits à propos du droit de visite ne seraient pas suffisamment importants pour mettre en danger le développement de l'enfant, et où ils devraient être résolus par l'institution d'une curatelle au sens de l'art. 307 ou de l' art. 308 CC . Par ailleurs, en ne remettant pas l'enfant à son père, elle estime avoir pris une décision certes répréhensible au regard de l' art. 292 CP , mais qui a permis de garder sa fille à l'abri de nouvelles violences. En définitive, il n'aurait pas fallu lui retirer le droit de déterminer le lieu de résidence de sa fille, mais prendre une mesure moins incisive, à savoir retirer le droit de visite du père et ordonner une thérapie parentale. La mesure prise serait aussi insoutenable dans son résultat, tout placement ayant un effet irréversible dans la vie d'un enfant. En l'occurrence, la décision querellée aurait pour effet d'éloigner C.________ de la recourante alors que toutes deux entretiennent actuellement une relation " normale ".</w:t>
      </w:r>
    </w:p>
    <w:p>
      <w:r>
        <w:rPr>
          <w:b/>
        </w:rPr>
        <w:t>E. 4.2.1</w:t>
      </w:r>
    </w:p>
    <w:p>
      <w:r>
        <w:t>L' art. 445 al. 1 CC permet à l'autorité de protection de l'enfant, par renvoi de l' art. 314 al. 1 CC , de prendre toutes les mesures provisionnelles nécessaires pendant la durée de la procédure. Les mesures superprovisionnelles sont rendues en cas d'urgence particulière; elles se distinguent des mesures provisionnelles uniquement par le fait qu'elles sont rendues sans que la partie adverse soit entendue préalablement ( art. 265 al. 1 CPC ). Si le juge rend de telles mesures, il doit ensuite rapidement entendre la partie adverse et statuer sans délai sur la requête de mesures provisionnelles proprement dites ( art. 265 al. 2 CPC ). Il rend alors une décision sur mesures provisionnelles qui remplace la décision superprovisionnelle. Les mesures provisionnelles restent en principe en vigueur jusqu'à l'entrée en force de la décision au fond; elle peuvent toutefois être modifiées ou révoquées si les circonstances se sont modifiées après leur prononcé, ou s'il s'avère par la suite qu'elles sont injustifiées ( art. 268 CPC ). Ces principes valent également en matière de protection de l'enfant ( art. 445 CC par renvoi de l' art. 314 al. 1 CC ; ATF 140 III 289 ; arrêts 5A_211/2016 du 19 mai 2016 consid. 2; 5A_554/2014 du 21 octobre 2014 consid. 3.2). Conformément au principe de la proportionnalité, qui est inhérent au but d'une mesure provisoire (Message concernant la révision du code civil suisse, Protection de l'adulte, droit des personnes et droit de la filiation, du 28 juin 2006, FF 2006 6635, p. 6709), les mesures provisionnelles doivent être adaptées aux circonstances de l'espèce : il s'agit de préférer la mesure qui préserve au mieux les intérêts des parties et donc, entre plusieurs solutions possibles, de choisir la moins incisive.</w:t>
      </w:r>
    </w:p>
    <w:p>
      <w:r>
        <w:rPr>
          <w:b/>
        </w:rPr>
        <w:t>E. 4.2.2</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(arrêts 5A_548/2015 du 15 octobre 2015 consid. 4.3; 5A_335/2012 du 21 juin 2012 consid. 3.1). La cause du retrait doit résider dans le fait que le développement corporel, intellectuel ou moral de l'enfant n'est pas assez protégé ou encouragé dans le milieu de ses père et mère (arrêts 5A_875/2013 du 10 avril 2014 consid. 3.1; 5A_729/2013 du 11 décembre 2013 consid. 4.1; 5A_835/2008 du 12 février 2009 consid. 4.1 et les références). Les raisons de la mise en danger du développement importent peu: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(arrêts 5A_401/2015 du 7 septembre 2015 consid. 5.2; 5A_212/2013 du 5 septembre 2013 consid. 3.1). Une mesure de retrait du droit de déterminer le lieu de résidence de l'enfant n'est ainsi légitime que s'il n'est pas possible de prévenir le danger par les mesures moins énergiques prévues aux art. 307 et 308 CC (principes de proportionnalité et de subsidiarité; arrêts 5A_404/2016 du 10 novembre 2016 consid. 3; 5A_724/2015 du 2 juin 2016 consid. 6.3 non publié aux ATF 142 I 88 ; 5A_548/2015 du 15 octobre 2015 consid. 4.3; 5A_875/2013 du 10 avril 2014 consid. 3.1). Dès lors qu'il s'agit d'une mesure servant à protéger l'enfant, il est sans pertinence que les parents n'aient pas commis de faute; parmi tous les autres facteurs pertinents, le souhait de l'enfant doit être pris en considération (arrêt 5A_140/2008 du 9 juillet 2008 consid. 3.1; 5C.117/2002 du 1 er juillet 2002 consid. 3).</w:t>
      </w:r>
    </w:p>
    <w:p>
      <w:r>
        <w:rPr>
          <w:b/>
        </w:rPr>
        <w:t>E. 4.2.3</w:t>
      </w:r>
    </w:p>
    <w:p>
      <w:r>
        <w:t>Comme l'application des art. 310 ss CC suppose une pesée d'intérêts de la part des autorités cantonales, le Tribunal fédéral fait preuve de retenue en revoyant leurs décisions ( ATF 120 II 384 consid. 5b);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 (arrêt 5A_678/2015 du 2 décembre 2015 consid. 6.1).</w:t>
      </w:r>
    </w:p>
    <w:p>
      <w:r>
        <w:rPr>
          <w:b/>
        </w:rPr>
        <w:t>E. 4.3</w:t>
      </w:r>
    </w:p>
    <w:p>
      <w:r>
        <w:t>Il n'est pas contesté que le conflit parental est particulièrement intense dans le cas d'espèce. Cela étant, l'état de fait retenu ne permettait pas à la Chambre des curatelles de retirer à la mère, à titre provisionnel, le droit de déterminer le lieu de résidence de l'enfant sans abuser manifestement de son pouvoir d'appréciation et parvenir à une solution choquante. Il ressort en effet du dernier rapport d'expertise établi en 2014 par les Dresses D.________ et E.________ de U.________ que chacun des parents possède des atouts personnels pouvant servir leurs compétences parentales, et qu'ils semblent en mesure d'offrir un encadrement adéquat et une prise en charge correspondant aux besoins de l'enfant. L'ensemble des rapports subséquents ont été établis par l'assistant social du SPJ en charge du dossier, qui a fini par préconiser un placement vu l'exposition de l'enfant au conflit parental, constitutive d'une " véritable maltraitance psychologique ", vu le fait qu'ils n'avaient pas entrepris de thérapie, et que toute décision de justice était contestée par chacun des parents, considérations reprises par l'autorité cantonale pour fonder sa décision. Cela étant, la cour cantonale n'explique pas concrètement en quoi le milieu maternel aurait un impact néfaste sur le développement de l'enfant - la simple référence au conflit parental étant insuffisante -, ni en quoi la situation nécessiterait de prendre des mesures urgentes. Cela ne ressort pas non plus des rapports précités, les compétences parentales de la mère n'étant pas remises en cause. La seule mention, dans un rapport du 17 mars 2016 (cf. supra let. A.e), du fait que C.________ aurait déclaré à l'assistant social du SPJ que ses deux parents " tenaient des propos dévalorisants l'un envers l'autre ", est en soi insuffisante pour retirer de manière urgente à la mère le droit de déterminer le lieu de résidence de l'enfant et placer celui-ci en foyer. L'assistant social du SPJ a d'ailleurs souligné que ce n'était pas la prise en charge parentale qui faisait souffrir l'enfant, mais l'interaction entre les parents, ce qui suscitait en particulier des craintes que le conflit n'explose à la fin du droit de visite (cf. supra let. A.d). S'agissant de l'argument de la Chambre des curatelles tiré du fait que la mère n'a pas respecté deux décisions relatives au droit de visite du père, malgré la menace de la peine prévue à l' art. 292 CP , il y a lieu de relever qu'une telle attitude est indéniablement répréhensible et néfaste pour l'enfant: il est en effet unanimement reconnu que le rapport de l'enfant avec ses deux parents est essentiel et qu'il peut jouer un rôle décisif dans le processus de sa recherche d'identité ( ATF 127 III 295 consid. 4a in fine et les références). Cependant, un retrait du droit de déterminer le lieu de résidence ne saurait être prononcé pour servir de sanction à l'égard du parent gardien, seul le bien de l'enfant étant déterminant. Au surplus, pour pouvoir ordonner une telle mesure à titre provisionnel, encore faudrait-il que le bien de l'enfant soit mis en péril s'il demeure auprès du parent gardien pendant la durée de la procédure au fond, autrement dit, qu'il y ait urgence (cf. supra consid. 4.2.1). Or, en l'espèce, de tels éléments ne ressortent pas de l'état de fait. Pour ces motifs, l'arrêt querellé relève d'une application arbitraire ( art. 9 Cst. ) des art. 310 al. 1 CC , en lien avec l' art. 445 al. 1 CC . Il s'impose de renvoyer la cause à l'autorité cantonale pour complément d'instruction et nouvelle décision, étant rappelé que la maxime inquisitoire est applicable en l'espèce (art. 446 par renvoi de l' art. 314 CC ). Il lui appartiendra d'établir les faits pertinents pour apprécier si, au regard du bien de l'enfant, l'urgence commande véritablement de retirer à la mère, à titre provisionnel, le droit de déterminer le lieu de résidence de l'enfant et de prononcer le placement de celle-ci, si une mesure de protection moins incisive est nécessaire et préférable, ou encore si la situation peut être maintenue telle quelle pour la durée de la procédure au fond (cf. supra consid. 4.2.1 et 4.2.2). Au vu de la gravité de la mesure de placement envisagée et ses conséquences directes sur la vie quotidienne de l'enfant, la question de l'audition de l'enfant se posera indéniablement, en particulier à propos de son lieu de vie (arrêt 5A_354/2015 du 3 août 2015 consid. 3.2.2), pour autant que de justes motifs n'y fassent pas obstacle. Parmi les " justes motifs " au sens de l' art. 314a al. 1 CC figure le risque que l'audition mette en danger la santé physique ou psychique de l'enfant: à ce sujet, il faut relever que la simple crainte d'imposer à l'enfant la tension d'une audition n'est pas suffisante; encore faut-il, pour renoncer à l'audition, que cette crainte soit étayée et que le risque dépasse celui qui est inhérent à toute procédure dans laquelle les intérêts des enfants sont en jeu ( ATF 131 III 553 consid. 1.3.1 à 1.3.3; arrêts 5A_2/2016 du 28 avril 2016 consid. 2.3; 5A_821/2013 du 16 juin 2014 consid. 4 in fine; 5C.149/2006 du 10 juillet 2006 consid. 1.2). Dès lors que la cause est renvoyée à la juridiction précédente, il ne s'impose pas de statuer sur les autres griefs soulevés par la recourante, à savoir le caractère arbitraire du défaut d'audition de l'enfant et la violation arbitraire de la " maxime inquisitoire (maxime d'office) ".</w:t>
      </w:r>
    </w:p>
    <w:p>
      <w:r>
        <w:rPr>
          <w:b/>
        </w:rPr>
        <w:t>E. 5</w:t>
      </w:r>
    </w:p>
    <w:p>
      <w:r>
        <w:t>Vu ce qui précède, le recours est admis, aux frais de l'intimé; celui-ci succombe sur le fond, ainsi que s'agissant de l'effet suspensif et de ses requêtes de mesures provisionnelles et superprovisionnelles ( art. 66 al. 1 LTF ). L'intimé versera une indemnité de dépens à la recourante, ainsi qu'au curateur de représentation de l'enfant qui, ayant été invité à se déterminer, s'en est remis à justice concernant l'effet suspensif et a conclu, en substance, à l'admission du recours, au terme de brèves observations ( art. 68 al. 1 et 2 LTF ). La cause est renvoyée à l'autorité précédente pour instruction et nouvelle décision dans le sens des considérants.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