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5A_992/2025 vom 17. Dezember 2025</w:t>
      </w:r>
    </w:p>
    <w:p>
      <w:r>
        <w:t>Bundesgericht, 2025-12-17, DE</w:t>
      </w:r>
    </w:p>
    <w:p>
      <w:r>
        <w:rPr>
          <w:b/>
        </w:rPr>
        <w:t xml:space="preserve">Quelle: </w:t>
      </w:r>
      <w:r>
        <w:t>https://mcp.opencaselaw.ch/entscheid/bger_5A_992_2025</w:t>
      </w:r>
    </w:p>
    <w:p>
      <w:r>
        <w:t>FR: TF 5A_992/2025 du 17 décembre 2025</w:t>
      </w:r>
    </w:p>
    <w:p>
      <w:r>
        <w:t>IT: TF 5A_992/2025 del 17 dicembre 2025</w:t>
      </w:r>
    </w:p>
    <w:p>
      <w:pPr>
        <w:pStyle w:val="Heading2"/>
      </w:pPr>
      <w:r>
        <w:t>Erwägungen</w:t>
      </w:r>
    </w:p>
    <w:p>
      <w:r>
        <w:rPr>
          <w:b/>
        </w:rPr>
        <w:t>E. 1</w:t>
      </w:r>
    </w:p>
    <w:p>
      <w:r>
        <w:t>Mit Urteil vom 26. September 2025 eröffnete das Kantonsgericht Appenzell Ausserrhoden auf Begehren der Beschwerdegegnerin in der Betreibung Nr. xxx des Betreibungsamtes Appenzeller Mittelland den Konkurs über den Beschwerdeführer.</w:t>
      </w:r>
    </w:p>
    <w:p>
      <w:r>
        <w:t>Dagegen erhob der Beschwerdeführer mit Eingaben vom 6. Oktober 2025 Beschwerde beim Obergericht Appenzell Ausserrhoden. Mit Urteil vom 20. Oktober 2025 wies das Obergericht die Beschwerde ab.</w:t>
      </w:r>
    </w:p>
    <w:p>
      <w:r>
        <w:t>Dagegen hat der Beschwerdeführer am 14. November 2025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Obergericht hat erwogen, der Beschwerdeführer habe in der fraglichen Betreibung die Forderung beim Betreibungsamt nur unvollständig beglichen und auch die Kosten nicht vollständig getilgt. Zudem habe er seine Zahlungsfähigkeit nicht glaubhaft gemacht.</w:t>
      </w:r>
    </w:p>
    <w:p>
      <w:r>
        <w:rPr>
          <w:b/>
        </w:rPr>
        <w:t>E. 4</w:t>
      </w:r>
    </w:p>
    <w:p>
      <w:r>
        <w:t>Der Beschwerdeführer macht geltend, aus dem beigelegten Betreibungsregisterauszug sei ersichtlich, dass die Forderung vollumfänglich bezahlt sei. Auch das beigelegte Mail des Betreibungsamtes bestätige die vollumfängliche Zahlung.</w:t>
      </w:r>
    </w:p>
    <w:p>
      <w:r>
        <w:t>Gemäss den vorinstanzlichen Feststellungen hat der Beschwerdeführer vor Obergericht keinen Betreibungsregisterauszug eingereicht. Er kann dies nicht vor Bundesgericht nachholen. Eine genügende Sachverhaltsrüge im Zusammenhang mit der Begleichung der Forderung und der Kosten fehlt. Das Mail des Betreibungsamtes stammt sodann vom 31. Oktober 2025 und kann vor Bundesgericht nicht berücksichtigt werden ( Art. 99 Abs. 1 BGG ). Schliesslich setzt sich der Beschwerdeführer nicht damit auseinander, dass er seine Zahlungsfähigkeit nicht glaubhaft gemacht hat.</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