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5A_990/2025 vom 20. November 2025</w:t>
      </w:r>
    </w:p>
    <w:p>
      <w:r>
        <w:t>Bundesgericht, 2025-11-20, DE</w:t>
      </w:r>
    </w:p>
    <w:p>
      <w:r>
        <w:rPr>
          <w:b/>
        </w:rPr>
        <w:t xml:space="preserve">Quelle: </w:t>
      </w:r>
      <w:r>
        <w:t>https://mcp.opencaselaw.ch/entscheid/bger_5A_990_2025</w:t>
      </w:r>
    </w:p>
    <w:p>
      <w:r>
        <w:t>FR: TF 5A_990/2025 du 20 novembre 2025</w:t>
      </w:r>
    </w:p>
    <w:p>
      <w:r>
        <w:t>IT: TF 5A_990/2025 del 20 novembre 2025</w:t>
      </w:r>
    </w:p>
    <w:p>
      <w:pPr>
        <w:pStyle w:val="Heading2"/>
      </w:pPr>
      <w:r>
        <w:t>Erwägungen</w:t>
      </w:r>
    </w:p>
    <w:p>
      <w:r>
        <w:rPr>
          <w:b/>
        </w:rPr>
        <w:t>E. 1</w:t>
      </w:r>
    </w:p>
    <w:p>
      <w:r>
        <w:t>Angefochten ist ein kantonal letztinstanzlicher Entscheid in einer Zivilsache ( Art. 72 Abs. 1 und Art. 75 Abs. 1 BGG ). Da es sich um eine vorsorgliche Massnahme handelt, sind nur Verfassungsrügen zulässig ( Art. 98 BGG ). Für diese gilt das strenge Rügeprinzip im Sinn von Art. 106 Abs. 2 BGG . Das bedeutet, dass das Bundesgericht nur klar und detailliert erhobene und soweit möglich belegte Rügen prüft, während es auf ungenügend begründete Rügen und appellatorische Kritik am angefochtenen Entscheid nicht eintritt ( BGE 142 III 364 E. 2.4; 149 III 81 E. 1.3).</w:t>
      </w:r>
    </w:p>
    <w:p>
      <w:r>
        <w:rPr>
          <w:b/>
        </w:rPr>
        <w:t>E. 2</w:t>
      </w:r>
    </w:p>
    <w:p>
      <w:r>
        <w:t>Der (anwaltlich vertretene) Beschwerdeführer äussert sich durchgehend ausschliesslich appellatorisch. Weder wird ein verfassungsmässiges Recht als verletzt angerufen noch werden dem Sinn nach Verfassungsrügen erhoben.</w:t>
      </w:r>
    </w:p>
    <w:p>
      <w:r>
        <w:t>Aber selbst wenn der Beschwerdeführer sein Anliegen in Form von Verfassungsrügen vortragen würde, gingen seine Ausführungen an der Sache vorbei, denn er äussert sich nicht ansatzweise zur vorinstanzlichen Nichteintretensbegründung, dass es um Kindesunterhalt gehe und deshalb bezifferte Rechtsbegehren zu stellen wären (vgl. zu den betreffenden Erfordernissen im Berufungsverfahren bei Kindesunterhalt BGE 137 III 617 E. 4.3 und 4.5.4).</w:t>
      </w:r>
    </w:p>
    <w:p>
      <w:r>
        <w:t>Nur der Vollständigkeit halber sei festgehalten, dass das Anliegen des Beschwerdeführers auch in materieller Hinsicht von vornherein an der Sache vorbeigehen würde, weil der Kindesunterhalt materiell eine Forderung des Kindes ist (vgl. BGE 148 III 270 E. 6.2 und 6.7; 148 III 296 E. 6) und sie deshalb - nebst anderen in den kantonalen Entscheiden dargelegten Gründen - allein schon mangels Gegenseitigkeit nicht mit verfallenem Ehegattenunterhalt verrechnet werden könnte (vgl. Art. 120 Abs. 1 OR ).</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Wie die vorstehenden Erwägungen ausserdem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