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990/2023 vom 18. Juni 2024</w:t>
      </w:r>
    </w:p>
    <w:p>
      <w:r>
        <w:t>Bundesgericht, 2024-06-18, FR</w:t>
      </w:r>
    </w:p>
    <w:p>
      <w:r>
        <w:rPr>
          <w:b/>
        </w:rPr>
        <w:t xml:space="preserve">Quelle: </w:t>
      </w:r>
      <w:r>
        <w:t>https://mcp.opencaselaw.ch/entscheid/bger_5A_990_2023</w:t>
      </w:r>
    </w:p>
    <w:p>
      <w:r>
        <w:t>FR: TF 5A 990/2023 du 18 juin 2024</w:t>
      </w:r>
    </w:p>
    <w:p>
      <w:r>
        <w:t>IT: TF 5A 990/2023 del 18 giugno 2024</w:t>
      </w:r>
    </w:p>
    <w:p>
      <w:pPr>
        <w:pStyle w:val="Heading2"/>
      </w:pPr>
      <w:r>
        <w:t>Regeste</w:t>
      </w:r>
    </w:p>
    <w:p>
      <w:r>
        <w:t>inventaire dans la faillite, saisissabilité des avoirs de prévoyance du failli | Droit des poursuites et faillites</w:t>
      </w:r>
    </w:p>
    <w:p>
      <w:pPr>
        <w:pStyle w:val="Heading2"/>
      </w:pPr>
      <w:r>
        <w:t>Erwägungen</w:t>
      </w:r>
    </w:p>
    <w:p>
      <w:r>
        <w:rPr>
          <w:b/>
        </w:rPr>
        <w:t>E. 1.1</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L'intérêt à recourir n'existe donc que si les griefs présentés par le recourant sont de nature à entraîner en sa faveur une modification (ou une suppression) de ce qui a été décidé dans le dispositif de l'arrêt attaqué, éventuellement interprété selon sa motivation (BOVEY, in Commentaire de la LTF, 3 ème éd. 2022, n° 24 ad art. 76 LTF ). Or, l'inventaire ( art. 221 LP ) est une mesure interne de l'administration de la faillite. Cet acte ne produit aucun effet à l'égard des tiers et ne fixe pas encore définitivement l'appartenance des biens à la masse; il n'a d'autre but et d'autre conséquence que d'énumérer et d'établir les biens et les droits que la masse considère comme appartenant au failli et tend à assurer la conservation du patrimoine du failli (arrêt 5A_933/2023 du 20 mars 2024 consid. 4.2.2.1 et les références). Partant, le tiers n'a pas qualité pour porter plainte ( art. 17 LP ) contre la prise en compte ou non de biens dans l'inventaire, faute d'être matériellement lésé par les effets de la décision attaquée et avoir un intérêt digne de protection à sa modification ou à son annulation (arrêt 5A_933/2023 précité consid. 4.2.2.3 et les références). En conséquence, pour les mêmes motifs, le tiers n'a pas non plus qualité pour recourir devant le Tribunal fédéral pour contester la réforme de l'inventaire obtenue, sur plainte, par un créancier.</w:t>
      </w:r>
    </w:p>
    <w:p>
      <w:r>
        <w:rPr>
          <w:b/>
        </w:rPr>
        <w:t>E. 1.2</w:t>
      </w:r>
    </w:p>
    <w:p>
      <w:r>
        <w:t>Il suit de là que la recourante, tiers dans la procédure de faillite, n'a pas qualité pour recourir. Il en aurait été de même si la recourante avait produit une créance dans cette faillite. En effet, en qualité de créancière, elle n'aurait pu que se plaindre du refus d'inventorier un bien ( ATF 141 III 590 consid. 3.5.1). En conséquence, le recours doit être déclaré irrecevable.</w:t>
      </w:r>
    </w:p>
    <w:p>
      <w:r>
        <w:rPr>
          <w:b/>
        </w:rPr>
        <w:t>E. 2</w:t>
      </w:r>
    </w:p>
    <w:p>
      <w:r>
        <w:t>En définitive, le recours est irrecevable. Les frais judiciaires, arrêtés à 5'000 fr., sont mis à la charge de la recourante, qui succombe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