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5A_98/2019 vom 28. Februar 2019</w:t>
      </w:r>
    </w:p>
    <w:p>
      <w:r>
        <w:t>Bundesgericht, 2019-02-28, DE</w:t>
      </w:r>
    </w:p>
    <w:p>
      <w:r>
        <w:rPr>
          <w:b/>
        </w:rPr>
        <w:t xml:space="preserve">Quelle: </w:t>
      </w:r>
      <w:r>
        <w:t>https://mcp.opencaselaw.ch/entscheid/bger_5A_98_2019</w:t>
      </w:r>
    </w:p>
    <w:p>
      <w:r>
        <w:t>FR: TF 5A_98/2019 du 28 février 2019</w:t>
      </w:r>
    </w:p>
    <w:p>
      <w:r>
        <w:t>IT: TF 5A_98/2019 del 28 febbraio 2019</w:t>
      </w:r>
    </w:p>
    <w:p>
      <w:pPr>
        <w:pStyle w:val="Heading2"/>
      </w:pPr>
      <w:r>
        <w:t>Erwägungen</w:t>
      </w:r>
    </w:p>
    <w:p>
      <w:r>
        <w:rPr>
          <w:b/>
        </w:rPr>
        <w:t>E. 1</w:t>
      </w:r>
    </w:p>
    <w:p>
      <w:r>
        <w:t>Von vornherein nicht einzutreten ist auf die vom Beschwerdeführer im Namen seiner Tochter erhobene Beschwerde: Unbesehen darum, ob und inwieweit die Tochter ihre Rechte selbst wahrnehmen könnte (vgl. Art. 71 BGG i.V.m. Art. 14 BZP [SR 273]; Urteil 5A_715/2011 vom 21. Januar 2012 E. 1.3), kann der Beschwerdeführer diese vor Bundesgericht nicht vertreten, nachdem die elterliche Sorge auf die Mutter übertragen wurde und der Beschwerde an das Bundesgericht keine aufschiebende Wirkung zukommt ( Art. 304 Abs. 1 ZGB ; Art. 103 Abs. 1 und 3 BGG ; vgl. im Übrigen auch Art. 306 Abs. 3 ZGB ). Ohnehin wurde für die Tochter eine Prozessvertretung nach Art. 299 ZPO angeordnet und sind die Befugnisse der gesetzlichen Vertreter insoweit beschnitten (vgl. Urteil 5A_894/2015 vom 16. März 2016 E. 4.1, in: FamPra.ch 2016 S. 809).</w:t>
      </w:r>
    </w:p>
    <w:p>
      <w:r>
        <w:rPr>
          <w:b/>
        </w:rPr>
        <w:t>E. 2.1</w:t>
      </w:r>
    </w:p>
    <w:p>
      <w:r>
        <w:t>Die Beschwerde an das Bundesgericht hat ein Rechtsbegehren zu enthalten ( Art. 42 Abs. 1 BGG ). Da sie ein reformatorisches Rechtsmittel ist ( Art. 107 Abs. 2 BGG ), muss die beschwerdeführende Person grundsätzlich einen Antrag in der Sache stellen. Blosse Aufhebungsanträge oder Anträge auf Rückweisung der Sache an die Vorinstanz zu neuem Entscheid genügen an sich nicht. Ein Rückweisungsantrag allein reicht ausnahmsweise aus, wenn, was hier nicht der Fall ist, das Bundesgericht auch bei einer Gutheissung nicht selbst in der Sache entscheiden könnte (vgl. BGE 137 II 313 E. 1.3; 134 III 379 E. 1.3). Lautet ein Rechtsbegehren auf einen Geldbetrag, muss es ausserdem beziffert sein ( BGE 143 III 111 E. 1.2; 134 III 235 E. 2).</w:t>
      </w:r>
    </w:p>
    <w:p>
      <w:r>
        <w:rPr>
          <w:b/>
        </w:rPr>
        <w:t>E. 2.2</w:t>
      </w:r>
    </w:p>
    <w:p>
      <w:r>
        <w:t>Der Beschwerdeführer stellt vor Bundesgericht mit der im eigenen Namen eingereichten Beschwerde allein das Begehren, das angefochtene Urteil sei aufzuheben. Auch aus der Beschwerdebegründung, die zur Interpretation des Rechtsbegehrens beizuziehen ist ( BGE 136 V 131 E. 1.2), ergibt sich nicht, was er im bundesgerichtlichen Verfahren erreichen möchte. Zwar lässt sich der Beschwerde entnehmen, dass der Beschwerdeführer mit den Anordnungen des Kantonsgerichts zu den "Kinderbelangen", zum "Güterrecht", zum "Ehegattenunterhalt" und zur "beruflichen Vorsorge" nicht einverstanden ist und verschiedene (verfassungsmässige) Rechte als verletzt ansieht. Er macht aber keine Angaben dazu, welche Anordnungen seiner Ansicht nach zu treffen gewesen wären bzw. welche Geldbeträge er zugesprochen erhalten möchte. Auf die Beschwerde kann daher nicht eingetreten werden.</w:t>
      </w:r>
    </w:p>
    <w:p>
      <w:r>
        <w:rPr>
          <w:b/>
        </w:rPr>
        <w:t>E. 3</w:t>
      </w:r>
    </w:p>
    <w:p>
      <w:r>
        <w:t>Noch anzumerken ist Folgendes: Dem Beschwerdeführer ist aus den zahlreichen früheren Verfahren (vgl. vorne Bst. A.b) hinlänglich bekannt, welche Begründungsanforderungen eine Beschwerde an das Bundesgericht zu erfüllen hat (vgl. z.B. Urteil 5A_860/2017 vom 13. November 2017 E. 2). Diesen Anforderungen wird die vom Beschwerdeführer im eigenen Namen erhobene Beschwerde nicht gerecht, da er sich darauf beschränkt, ohne Auseinandersetzung mit dem angefochtenen Entscheid seine Sichtweise der Dinge darzulegen und dem Kantonsgericht verschiedenste Verfassungs- bzw. Rechtsverletzungen vorzuwerfen. Die Beschwerde kann auch aus diesem Grund nicht an die Hand genommen werden.</w:t>
      </w:r>
    </w:p>
    <w:p>
      <w:r>
        <w:rPr>
          <w:b/>
        </w:rPr>
        <w:t>E. 4</w:t>
      </w:r>
    </w:p>
    <w:p>
      <w:r>
        <w:t>Bei diesem Ausgang des Verfahrens sind die Gerichtskosten dem Beschwerdeführer aufzuerlegen ( Art. 66 Abs. 1 BGG ). Mangels Einholens von Vernehmlassungen sind weder bei der obsiegenden Beschwerdegegnerin noch der Tochter entschädigungspflichtige Kosten angefallen. Parteientschädigungen sind folglich keine zu sprechen ( Art. 68 Abs. 1 BGG ). Da die Beschwerden nach dem vorstehend Ausgeführten als von Anfang an aussichtlos qualifiziert werden müssen, ist das Gesuch des Beschwerdeführers um unentgeltliche Rechtspflege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