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5A_98/2017 vom 27. Juni 2017</w:t>
      </w:r>
    </w:p>
    <w:p>
      <w:r>
        <w:t>Bundesgericht, 2017-06-27, FR</w:t>
      </w:r>
    </w:p>
    <w:p>
      <w:r>
        <w:rPr>
          <w:b/>
        </w:rPr>
        <w:t xml:space="preserve">Quelle: </w:t>
      </w:r>
      <w:r>
        <w:t>https://mcp.opencaselaw.ch/entscheid/bger_5A_98_2017</w:t>
      </w:r>
    </w:p>
    <w:p>
      <w:r>
        <w:t>FR: TF 5A_98/2017 du 27 juin 2017</w:t>
      </w:r>
    </w:p>
    <w:p>
      <w:r>
        <w:t>IT: TF 5A_98/2017 del 27 giugno 2017</w:t>
      </w:r>
    </w:p>
    <w:p>
      <w:pPr>
        <w:pStyle w:val="Heading2"/>
      </w:pPr>
      <w:r>
        <w:t>Erwägungen</w:t>
      </w:r>
    </w:p>
    <w:p>
      <w:r>
        <w:rPr>
          <w:b/>
        </w:rPr>
        <w:t>E. 1</w:t>
      </w:r>
    </w:p>
    <w:p>
      <w:r>
        <w:t>Le recours est dirigé contre une décision finale ( art. 90 LTF ), prise en dernière instance cantonale et sur recours par un tribunal supérieur ( art. 75 LTF ), dans une contestation civile de nature pécuniaire, dont la cour cantonale a retenu que la valeur litigieuse atteignait 30'000 fr. ( art. 74 al. 1 let. b LTF ); il a par ailleurs été déposé à temps ( art. 46 al. 1 let . c et 100 al. 1 LTF), par la partie qui a succombé dans ses conclusions devant l'instance précédente ( art. 76 LTF ), de sorte que le recours en matière civile est recevable au regard de ces dispositions. Le recours constitutionnel subsidiaire est en conséquence irrecevable ( art. 113 LTF ).</w:t>
      </w:r>
    </w:p>
    <w:p>
      <w:r>
        <w:rPr>
          <w:b/>
        </w:rPr>
        <w:t>E. 2</w:t>
      </w:r>
    </w:p>
    <w:p>
      <w:r>
        <w:t>La cour cantonale a avant tout considéré que les époux F.________ n'avaient pas à être exclus du vote concernant la modification réglementaire litigieuse: dès lors que celle-ci constituait un acte d'administration interne, l' art. 68 CC , invoqué par l'intimée sur renvoi de l' art. 725m al. 2 CC , ne trouvait pas application.</w:t>
      </w:r>
    </w:p>
    <w:p>
      <w:r>
        <w:t>Les juges cantonaux ont néanmoins estimé que la modification règlementaire envisagée entraînait un changement de destination de l'immeuble, nécessitant le vote unanime des propriétaires d'étages. Ils ont relevé à cet égard que l'assouplissement des conditions d'exercice d'une profession dans les parts d'étages, à savoir le seul fait que celle-ci ne nuise pas à la " bonne tenue " de l'immeuble, sans considération pour sa tranquillité ou les nuisances causées aux autres propriétaires comme précédemment réglementé, était suffisant pour admettre qu'il y avait bien - en tout cas potentiellement - changement de destination de l'immeuble. Prise à la double majorité, la décision devait en conséquence être annulée.</w:t>
      </w:r>
    </w:p>
    <w:p>
      <w:r>
        <w:rPr>
          <w:b/>
        </w:rPr>
        <w:t>E. 3</w:t>
      </w:r>
    </w:p>
    <w:p>
      <w:r>
        <w:t>La recourante se plaint de la violation et de l'application arbitraire des art. 648 al. 2 et 647b al. 1 CC, grief qui se confond avec celui de l'appréciation arbitraire des faits et des moyens de preuves développé en tête de son argumentation.</w:t>
      </w:r>
    </w:p>
    <w:p>
      <w:r>
        <w:rPr>
          <w:b/>
        </w:rPr>
        <w:t>E. 3.1</w:t>
      </w:r>
    </w:p>
    <w:p>
      <w:r>
        <w:t>Elle prétend ainsi que l'immeuble objet de la PPE était affecté à une utilisation mixte depuis sa construction dès lors que l'exercice d'une profession y était autorisé conformément à l'art. 7A du règlement. La précision relative à l'admission de l'exercice de l'activité d'accueillante en milieu familial ne modifiait en rien la destination de l'immeuble ( art. 648 al. 2 CC ), tout au plus pouvait-on admettre que dite précision s'apparentait à une modification d'utilisation, pour laquelle la double majorité était nécessaire et acquise en l'espèce ( art. 647b al. 1 CC ). La recourante précise enfin qu'un niveau raisonnable de nuisance serait assuré par le fait que la profession devait s'exercer dans les limites d'une " bonne tenue " de l'immeuble, assurant ainsi le respect de l'ensemble des propriétaires d'étages.</w:t>
      </w:r>
    </w:p>
    <w:p>
      <w:r>
        <w:rPr>
          <w:b/>
        </w:rPr>
        <w:t>E. 3.2.1</w:t>
      </w:r>
    </w:p>
    <w:p>
      <w:r>
        <w:t>Aux termes de l' art. 712a CC , les parts de copropriété d'un immeuble peuvent être constituées en propriété par étages, de manière que chaque copropriétaire a le droit exclusif d'utiliser et d'aménager intérieurement des parties déterminées d'un bâtiment (al. 1); le copropriétaire a le pouvoir d'administrer, d'utiliser et d'aménager ses locaux dans la mesure où il ne restreint pas l'exercice du droit des autres copropriétaires, n'endommage pas les parties, ouvrages et installations communs du bâtiment, n'entrave pas leur utilisation ou n'en modifie pas l'aspect extérieur (al. 2).</w:t>
      </w:r>
    </w:p>
    <w:p>
      <w:r>
        <w:t>Le droit d'utilisation conféré par l' art. 712a al. 2 CC permet au propriétaire d'utiliser ses parties exclusives comme il l'entend. Cette liberté est présumée. Elle peut toutefois être limitée par des restrictions légales et des restrictions conventionnelles ( ATF 139 III 1 consid. 4.3.1 et les références). Les propriétaires d'étages peuvent ainsi convenir de restrictions à leur liberté d'utilisation de leurs parties exclusives dans l'acte constitutif de la propriété par étages, dans le règlement prévu à l' art. 712g al. 3 CC , dans le règlement de maison ou dans une décision ad hoc de la communauté ( ATF 139 III 1 consid. 4.3.1 et les références; 111 II 330 consid. 7). Ils peuvent notamment prévoir que les locaux doivent être utilisés dans un certain but, par exemple qu'il est interdit d'y exploiter un commerce ou un restaurant ( ATF 139 III 1 consid. 4.3.1 et les références).</w:t>
      </w:r>
    </w:p>
    <w:p>
      <w:r>
        <w:rPr>
          <w:b/>
        </w:rPr>
        <w:t>E. 3.2.2</w:t>
      </w:r>
    </w:p>
    <w:p>
      <w:r>
        <w:t>Les restrictions conventionnelles doivent respecter les limites générales de l'ordre juridique ( art. 2, 27 CC , 19 s. CO) ainsi que celles qui découlent de l'institution même de la propriété par étages ( ATF 139 III 1 consid. 4.3.2 et les références) : les intérêts divergents et convergents des propriétaires d'étages doivent ainsi s'équilibrer, de façon que chacun d'eux puisse exercer ses droits le plus librement possible, tout en permettant à la communauté de fonctionner comme une entité ( ATF 139 III 1 consid. 4.3.2; 111 II 330 consid. 7). De graves restrictions au droit exclusif du propriétaire d'étage ne peuvent cependant être prises qu'à l'unanimité, ou du moins, avec l'accord du propriétaire concrètement concerné par la restriction ( ATF 139 III 1 consid. 4.3.2 et les références).</w:t>
      </w:r>
    </w:p>
    <w:p>
      <w:r>
        <w:t>Si les copropriétaires ont adopté des restrictions conventionnelles admissibles, en particulier s'ils ont convenu de soumettre l'immeuble à une certaine affectation, l'accord de tous les copropriétaires est nécessaire pour un changement dans la destination de l'immeuble ou d'une part d'étage ( art. 648 al. 2 CC ; ATF 139 III 1 consid. 4.3.3 et les références; 111 II 330 consid. 2 i.f.). Le changement dans la destination de la chose doit néanmoins être distingué de son changement d'utilisation qui, selon l' art. 647b al. 1 CC , doit être pris à la majorité de tous les copropriétaires, représentant en outre, leurs parts réunies, plus de la moitié de la chose. Les art. 648 al. 2 et 647b al. 1 CC trouvent tous deux application dans le cadre de la propriété par étages en vertu de l' art. 712g al. 1 CC . Il y a changement de destination lorsque, soit par des mesures de fait, soit par des mesures juridiques, l'usage et l'affectation économique de l'immeuble en propriété par étages sont modifiés de façon profonde et significative. La destination actuelle de l'objet est ainsi reléguée au second plan ( ATF 139 III 1 consid. 4.3.3). L'affectation de l'immeuble détenu en copropriété est à cet égard déterminante: tant que subsiste le caractère global de l'immeuble, la transformation d'une seule unité d'étage ne conduit pas à un changement d'affectation au sens de l' art. 648 al. 2 CC ( ATF 139 III 1 consid. 4.3.3; 130 III 441 consid. 2.3 et 2.4, 450 consid. 2.1).</w:t>
      </w:r>
    </w:p>
    <w:p>
      <w:r>
        <w:rPr>
          <w:b/>
        </w:rPr>
        <w:t>E. 3.3</w:t>
      </w:r>
    </w:p>
    <w:p>
      <w:r>
        <w:t>En l'espèce, c'est à juste titre que la cour cantonale a considéré que la modification réglementaire envisagée entraînait un changement de destination de l'immeuble nécessitant l'accord unanime de tous les propriétaires d'étages. Outre les égards dus à la bonne tenue de l'immeuble, le règlement précédent faisait expressément référence à l'exigence de tranquillité et d'absence de gêne liée aux bruits et trépidations dans l'exercice éventuel d'une profession. Or en se limitant à se référer au respect de la " bonne tenue " de l'immeuble dans l'activité professionnelle exercée, tout en supprimant les exigences liées à la tranquillité de l'environnement, l'assouplissement réglementaire litigieux crée, vu la petite structure du bâtiment - trois étages, trois appartements/lots -, une incompatibilité potentielle avec la destination initiale de l'immeuble, à savoir l'habitation dans un environnement paisible.</w:t>
      </w:r>
    </w:p>
    <w:p>
      <w:r>
        <w:rPr>
          <w:b/>
        </w:rPr>
        <w:t>E. 4</w:t>
      </w:r>
    </w:p>
    <w:p>
      <w:r>
        <w:t>En définitive, le recours constitutionnel subsidiaire est irrecevable et le recours en matière civile rejeté. Les frais judiciaires sont mis à la charge de la recourante ( art. 66 al. 1 LTF ). Aucun dépens n'est alloué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