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5A_989/2019 vom 6. Dezember 2019</w:t>
      </w:r>
    </w:p>
    <w:p>
      <w:r>
        <w:t>Bundesgericht, 2019-12-06, DE</w:t>
      </w:r>
    </w:p>
    <w:p>
      <w:r>
        <w:rPr>
          <w:b/>
        </w:rPr>
        <w:t xml:space="preserve">Quelle: </w:t>
      </w:r>
      <w:r>
        <w:t>https://mcp.opencaselaw.ch/entscheid/bger_5A_989_2019</w:t>
      </w:r>
    </w:p>
    <w:p>
      <w:r>
        <w:t>FR: TF 5A_989/2019 du 6 décembre 2019</w:t>
      </w:r>
    </w:p>
    <w:p>
      <w:r>
        <w:t>IT: TF 5A_989/2019 del 6 dicembre 2019</w:t>
      </w:r>
    </w:p>
    <w:p>
      <w:pPr>
        <w:pStyle w:val="Heading2"/>
      </w:pPr>
      <w:r>
        <w:t>Erwägungen</w:t>
      </w:r>
    </w:p>
    <w:p>
      <w:r>
        <w:rPr>
          <w:b/>
        </w:rPr>
        <w:t>E. 1</w:t>
      </w:r>
    </w:p>
    <w:p>
      <w:r>
        <w:t>Das Verfahren vor Bundesgericht ist grundsätzlich schriftlich. Eine öffentliche Beratung findet nur ausnahmsweise statt (vgl. Art. 57 und 58 BGG ). Vorliegend ist der Entscheid aufgrund der Akten spruchreif und im einzelrichterlichen Verfahren nach Art. 108 Abs. 1 lit. b BGG zu urteilen (dazu E. 3), so dass eine öffentliche Beratung von vornherein ausser Betracht fällt.</w:t>
      </w:r>
    </w:p>
    <w:p>
      <w:r>
        <w:rPr>
          <w:b/>
        </w:rPr>
        <w:t>E. 2</w:t>
      </w:r>
    </w:p>
    <w:p>
      <w:r>
        <w:t>Die Vorinstanz ist auf das Rechtsmittel des Beschwerdeführers nicht eingetreten. Streitgegenstand ist deshalb grundsätzlich nur die Frage, ob die Vorinstanz zu Recht einen Nichteintretensentscheid gefällt hat ( BGE 135 II 38 E. 1.2 S. 41). Diesbezüglich wäre unter Bezugnahme auf die Erwägungen des angefochtenen Entscheides in gedrängter Form darzulegen, inwiefern mit dem Nichteintreten Recht verletzt worden ist ( Art. 42 Abs. 2 BGG ; BGE 140 III 115 E. 2 S. 116). Dahingehende Äusserungen finden sich in der Beschwerde nicht.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