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5A_988/2015 vom 28. April 2016</w:t>
      </w:r>
    </w:p>
    <w:p>
      <w:r>
        <w:t>Bundesgericht, 2016-04-28, FR</w:t>
      </w:r>
    </w:p>
    <w:p>
      <w:r>
        <w:rPr>
          <w:b/>
        </w:rPr>
        <w:t xml:space="preserve">Quelle: </w:t>
      </w:r>
      <w:r>
        <w:t>https://mcp.opencaselaw.ch/entscheid/bger_5A_988_2015</w:t>
      </w:r>
    </w:p>
    <w:p>
      <w:r>
        <w:t>FR: TF 5A_988/2015 du 28 avril 2016</w:t>
      </w:r>
    </w:p>
    <w:p>
      <w:r>
        <w:t>IT: TF 5A_988/2015 del 28 aprile 2016</w:t>
      </w:r>
    </w:p>
    <w:p>
      <w:pPr>
        <w:pStyle w:val="Heading2"/>
      </w:pPr>
      <w:r>
        <w:t>Erwägungen</w:t>
      </w:r>
    </w:p>
    <w:p>
      <w:r>
        <w:rPr>
          <w:b/>
        </w:rPr>
        <w:t>E. 1.1</w:t>
      </w:r>
    </w:p>
    <w:p>
      <w:r>
        <w:t>Le présent recours a été déposé en temps utile ( art. 100 al. 1 LTF ) et dans la forme prévue par la loi ( art. 42 LTF ), contre une décision finale ( art. 90 LTF ) rendue en matière civile ( art. 72 al. 1 LTF ) par un tribunal supérieur statuant en dernière instance cantonale ( art. 75 al. 1 et 2 LTF ), dans une cause de nature pécuniaire dont la valeur litigieuse requise est atteinte ( art. 74 al. 1 let. b LTF ). La recourante a en outre qualité pour recourir ( art. 76 al. 1 LTF ).</w:t>
      </w:r>
    </w:p>
    <w:p>
      <w:r>
        <w:rPr>
          <w:b/>
        </w:rPr>
        <w:t>E. 1.2</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cf. aussi arrêts 5A_785/2015 du 8 février 2016 consid. 2; 9C_53/2015 du 17 juillet 2015 consid. 2.1 et les références).</w:t>
      </w:r>
    </w:p>
    <w:p>
      <w:r>
        <w:rPr>
          <w:b/>
        </w:rPr>
        <w:t>E. 1.3</w:t>
      </w:r>
    </w:p>
    <w:p>
      <w:r>
        <w:t>Dans les limites dictées par le principe de l'autorité de l'arrêt de renvoi, 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LTF ; ATF 140 III 86 consid. 2 précité).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 in fine). Les critiques de nature appellatoire sont irrecevables ( ATF 140 III 264 consid. 2.3; 139 II 404 consid. 10.1 et les arrêts cités).</w:t>
      </w:r>
    </w:p>
    <w:p>
      <w:r>
        <w:rPr>
          <w:b/>
        </w:rPr>
        <w:t>E. 1.4</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(cf. supra consid. 1.3 in fine),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w:t>
      </w:r>
    </w:p>
    <w:p>
      <w:r>
        <w:t>Selon l' art. 99 al. 1 LTF , aucun fait nouveau ni preuve nouvelle ne peut être présenté à moins de résulter de la décision de l'autorité précédente ( ATF 135 I 221 consid. 5.2.4; 133 IV 342 consid. 2.1). Il en va de même des faits et pièces postérieurs à l'arrêt entrepris ( ATF 133 IV 342 consid. 2.1). Autant qu'ils soient pertinents, les courriers des 10 octobre et 27 novembre 2014 produits en annexe par la recourante sont irrecevables, dans la mesure où il n'apparaît pas qu'ils aient été soumis à l'autorité cantonale.</w:t>
      </w:r>
    </w:p>
    <w:p>
      <w:r>
        <w:rPr>
          <w:b/>
        </w:rPr>
        <w:t>E. 2</w:t>
      </w:r>
    </w:p>
    <w:p>
      <w:r>
        <w:t>Se plaignant d'arbitraire dans l'établissement des faits, la recourante reproche à l'autorité cantonale d'avoir omis de tenir compte d'éléments importants pour déterminer la volonté réelle des parties. Elle fait valoir qu'au moment du divorce, l'intimé savait que la valeur locative de l'ancien domicile conjugal, dont elle devenait propriétaire exclusive, constituait un revenu imposable fiscalement. Il résultait en outre des courriers du 2 mars 2009, respectivement du 11 mai suivant, que son ex-mari avait jusque-là pris en charge des montants supérieurs à ceux portant sur la rente qu'il lui verse. Il aurait ainsi consciemment assumé pendant des années des impôts calculés à un taux plus élevé que celui applicable à la rente prise isolément. Il était par ailleurs prévisible qu'étant née en 1942, elle bénéficierait d'une rente AVS dès l'année 2006. Dès lors, et faute de toute précision à ce sujet, la volonté concordante des parties quant à la portée de la clause litigieuse devait s'interpréter en ce sens que l'intimé supporte la différence entre les impôts sur le revenu qu'elle doit payer avec la rente et ceux dont elle devrait s'acquitter sans celle-ci.</w:t>
      </w:r>
    </w:p>
    <w:p>
      <w:r>
        <w:rPr>
          <w:b/>
        </w:rPr>
        <w:t>E. 2.1</w:t>
      </w:r>
    </w:p>
    <w:p>
      <w:r>
        <w:t>En présence d'un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 art. 18 al. 1 CO ; ATF 133 III 675 consid. 3.3). La détermination de la volonté réelle, en particulier savoir ce qu'un cocontractant savait et voulait au moment de conclure (interprétation subjective), relève des constatations de fait ( ATF 140 III 86 consid. 4.1; 132 III 626 consid. 3.1; 131 III 606 consid. 4.1), que le Tribunal fédéral ne peut revoir que sous l'angle de l'arbitraire (cf. supra consid. 1.4). Dans le domaine de l'appréciation des preuves et de la constatation des faits, le Tribunal fédéral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140 III 264 consid. 2.3 précité; 137 III 226 consid. 4.2; 136 III 552 consid. 4.2; 134 V 53 consid. 4.3; 129 I 8 consid. 2.1 et les références). Il appartient au recourant de démontrer précisément, pour chaque constatation de fait incriminée, comment les preuves administrées auraient dû être correctement appréciées et en quoi leur appréciation par l'autorité cantonale est insoutenable ( ATF 133 III 585 consid. 4.1 et la jurisprudence citée; arrêt 5A_969/2015 du 8 mars 2016 consid. 2.2).</w:t>
      </w:r>
    </w:p>
    <w:p>
      <w:r>
        <w:rPr>
          <w:b/>
        </w:rPr>
        <w:t>E. 2.2</w:t>
      </w:r>
    </w:p>
    <w:p>
      <w:r>
        <w:t>En l'espèce, l'autorité cantonale a considéré que la thèse de la demanderesse selon laquelle le défendeur aurait assumé durant seize ans la charge fiscale relative à la rente au taux applicable à l'entier de ses revenus ne trouvait pas un appui suffisant dans le dossier et ne résultait pas, en particulier, des pièces invoquées. Si l'on pouvait effectivement concevoir que la valeur locative de l'immeuble dont elle était devenue propriétaire exclusive après le divorce faisait partie de la charge fiscale éventuellement assumée par le recourant, il n'en allait pas de même de celle découlant de l'addition de la rente viagère avec la rente AVS versée à la demanderesse à partir d'une date qui restait indéterminée. Il découlait certes de la convention que la volonté des parties était d'assurer à l'intéressée un logement dans un appartement en propriété ainsi qu'une rente viagère pour couvrir ses besoins, les charges de PPE, l'impôt foncier et la charge fiscale de dite rente étant assumés par le défendeur. Tel n'était toutefois pas le cas de l'impôt résultant d'un accroissement des revenus de la demanderesse en raison d'une autre rente. On ne pouvait absolument rien déduire de la correspondance invoquée par la demanderesse au sujet de la volonté du défendeur de participer à un accroissement de cette charge fiscale. Comme le soulignait ce dernier, il appartenait à la demanderesse, pour l'établir, de produire les documents fiscaux permettant de démontrer qu'il avait durablement et consciemment accepté cette augmentation. Il n'y avait dès lors aucune raison de modifier l'état de fait retenu dans l'arrêt du 15 septembre 2014, dont le dispositif devait par conséquent être confirmé.</w:t>
      </w:r>
    </w:p>
    <w:p>
      <w:r>
        <w:rPr>
          <w:b/>
        </w:rPr>
        <w:t>E. 2.3</w:t>
      </w:r>
    </w:p>
    <w:p>
      <w:r>
        <w:t>Les juges cantonaux ont ainsi retenu en fait que la volonté réelle des parties était que le défendeur assume les impôts dus par la demanderesse sur la rente viagère uniquement, à l'exclusion de l'accroissement de la charge fiscale de celle-ci résultant de la perception d'autres revenus. La recourante ne démontre pas en quoi ces constatations procéderaient d'un établissement arbitraire des faits. En effet, elle oppose sa propre appréciation des preuves, sans établir que la réelle et commune intention des parties aurait été, au moment de la conclusion de la convention, soit en 1993, que le défendeur paie davantage que l'impôt calculé au taux applicable au seul montant de la rente. Une telle démonstration ne résulte en particulier pas du fait que celui-ci aurait été conscient, lors du divorce, de l'imposition de la valeur locative de l'ancien logement familial en tant que revenu de l'épouse, désormais seule propriétaire de ce bien. Il en va de même s'agissant de l'interprétation donnée par l'autorité cantonale aux courriers du conseil de l'intimé des 2 mars et 11 mai 2009: s'il en résulte que l'intéressé estimait avoir payé jusque-là des montants excédant ce à quoi il s'était engagé - soit assumer la charge fiscale de la recourante correspondant à sa seule rente viagère -, à plus forte raison doit-on considérer que cette correspondance n'établit pas que la volonté réelle de l'intéressé était de supporter des impôts plus élevés. Le résultat de l'appréciation des preuves effectuée par l'autorité cantonale n'apparaît donc pas insoutenable. Il en résulte que celle-ci ne saurait se voir reprocher d'avoir arbitrairement constaté la volonté subjective des parties en retenant que les impôts "sur le revenu de la rente mensuelle", comme prévu par la clause litigieuse, devaient "être calculés sur la base de cette seule rente en faisant abstraction d'autres revenus". Autant qu'il est suffisamment motivé ( art. 106 al. 2 LTF ), le grief est ainsi infondé.</w:t>
      </w:r>
    </w:p>
    <w:p>
      <w:r>
        <w:rPr>
          <w:b/>
        </w:rPr>
        <w:t>E. 3</w:t>
      </w:r>
    </w:p>
    <w:p>
      <w:r>
        <w:t>En conclusion, le recours apparaît mal fondé et doit par conséquent être rejeté, dans la mesure de sa recevabilité. Les frais judiciaires seront dès lors supportés par la recourante ( art. 66 al. 1 LTF ). Il n'y a pas lieu d'allouer de dépens à l'intimé, qui n'a pas été invité à répondre sur le fond et qui a déclaré s'en remettre à l'appréciation de la cour de céans concernant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