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5A_987/2021 vom 12. April 2022</w:t>
      </w:r>
    </w:p>
    <w:p>
      <w:r>
        <w:t>Bundesgericht, 2022-04-12, FR</w:t>
      </w:r>
    </w:p>
    <w:p>
      <w:r>
        <w:rPr>
          <w:b/>
        </w:rPr>
        <w:t xml:space="preserve">Quelle: </w:t>
      </w:r>
      <w:r>
        <w:t>https://mcp.opencaselaw.ch/entscheid/bger_5A_987_2021</w:t>
      </w:r>
    </w:p>
    <w:p>
      <w:r>
        <w:t>FR: TF 5A_987/2021 du 12 avril 2022</w:t>
      </w:r>
    </w:p>
    <w:p>
      <w:r>
        <w:t>IT: TF 5A_987/2021 del 12 aprile 2022</w:t>
      </w:r>
    </w:p>
    <w:p>
      <w:pPr>
        <w:pStyle w:val="Heading2"/>
      </w:pPr>
      <w:r>
        <w:t>Erwägungen</w:t>
      </w:r>
    </w:p>
    <w:p>
      <w:r>
        <w:rPr>
          <w:b/>
        </w:rPr>
        <w:t>E. 1</w:t>
      </w:r>
    </w:p>
    <w:p>
      <w:r>
        <w:t>Les conditions du recours en matière civile sont ici réalisées (art. 72 al. 1 [cf. notamment: arrêts 5A_401/2021 du 3 mars 2022 consid. 1 et les références; 5A_22/2016 du 2 septembre 2016 consid. 1], art. 75 al. 1 et 2, art. 76 al. 1 let. a et b, art. 90 et art. 100 al. 1 LTF ), étant précisé que l'affaire n'est pas de nature pécuniaire.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 art. 106 al. 2 LTF ). Une critique des faits qui ne satisfait pas à cette exigence est irrecevable ( ATF 145 IV 154 consid. 1.1).</w:t>
      </w:r>
    </w:p>
    <w:p>
      <w:r>
        <w:rPr>
          <w:b/>
        </w:rPr>
        <w:t>E. 3</w:t>
      </w:r>
    </w:p>
    <w:p>
      <w:r>
        <w:t>Le recourant se plaint exclusivement de la violation de l' art. 298bis al. 3ter CC .</w:t>
      </w:r>
    </w:p>
    <w:p>
      <w:r>
        <w:rPr>
          <w:b/>
        </w:rPr>
        <w:t>E. 3.1</w:t>
      </w:r>
    </w:p>
    <w:p>
      <w:r>
        <w:t>Selon l' art. 298b al. 3ter CC , lorsque l'autorité parentale est exercée conjointement entre les parents, l'autorité de protection de l'enfant examine, selon le bien de l'enfant, la possibilité de la garde alternée, si le père, la mère ou l'enfant le demande.</w:t>
      </w:r>
    </w:p>
    <w:p>
      <w:r>
        <w:rPr>
          <w:b/>
        </w:rPr>
        <w:t>E. 3.1.1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5A_401/2021 du 3 mars 2022 consid. 3.1.1; 5A_345/2020 du 30 avril 2021 consid. 5.1; 5A_793/2020 du 24 février 2021 consid. 5.1.1 et les références; cf. aussi ATF 147 III 121 consid. 3.2). Bien que l'autorité parentale conjointe soit désormais la règle et qu'elle comprenne le droit de déterminer le lieu de résidence de l'enfant (art. 296 al. 2 et 301a al. 1 CC; ATF 142 III 56 consid. 3.1 et 3.5 et les références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143 I 21 consid. 5.5.3; 141 III 328 consid. 5.4), les intérêts des parents devant être relégués au second plan ( ATF 142 III 617 consid. 3.2.3 et les références; arrêt 5A_67/2021 du 31 août 2021 consid. 3.1.1).</w:t>
      </w:r>
    </w:p>
    <w:p>
      <w:r>
        <w:rPr>
          <w:b/>
        </w:rPr>
        <w:t>E. 3.1.2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5A_401/2021 du 3 mars 2022 consid. 3.1.2; 5A_67/2021 précité consid. 3.1.3; 5A_682/2020 du 21 juin 2021 consid. 2.1; 5A_793/2020 précité consid. 5.1.2 et les autres références).</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5A_401/2021 précité loc. cit.; 5A_67/2021 précité loc. cit.; 5A_682/2020 précité loc. cit.).</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 arrêt 5A_34/2017 du 4 mai 2017 consid. 5.1).</w:t>
      </w:r>
    </w:p>
    <w:p>
      <w:r>
        <w:rPr>
          <w:b/>
        </w:rPr>
        <w:t>E. 3.1.3</w:t>
      </w:r>
    </w:p>
    <w:p>
      <w:r>
        <w:t>Pour apprécier les critères d'attribution des droits parentaux, le juge du fait, qui connaît le mieux les parties et le milieu dans lequel vit l'enfant, dispose d'un large pouvoir d'appréciation ( ATF 142 III 617 consid. 3.2.5 et les références; arrêts 5A_401/2021 précité consid. 3.1.3; 5A_67/2021 précité consid. 2.2). Le Tribunal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3.2</w:t>
      </w:r>
    </w:p>
    <w:p>
      <w:r>
        <w:t>La cour cantonale ne peut se voir ici reprocher aucun excès d'appréciation.</w:t>
      </w:r>
    </w:p>
    <w:p>
      <w:r>
        <w:rPr>
          <w:b/>
        </w:rPr>
        <w:t>E. 3.2.1</w:t>
      </w:r>
    </w:p>
    <w:p>
      <w:r>
        <w:t>Reconnaissant que le recourant s'était beaucoup occupé de son fils durant la vie commune, la Chambre de surveillance a souligné que, depuis la séparation de ses parents, l'enfant vivait désormais chez sa mère, laquelle travaillait certes à temps plein mais avait mis en place une structure adéquate pour le prendre en charge lorsqu'elle ne pouvait s'en occuper personnellement. Le recourant s'était pour sa part installé chez sa mère, où les conditions de vie de l'enfant n'étaient pas connues, faute pour le SPMi d'avoir enquêté à ce sujet. Contrairement toutefois à ce que soutient le recourant, cette dernière circonstance n'a pas été jugée décisive par la cour cantonale (cf.</w:t>
      </w:r>
    </w:p>
    <w:p>
      <w:r>
        <w:t>infra consid. 3.2.2). Les critiques que l'intéressé développe en vue de démontrer que les conditions de vie de son fils seraient parfaitement adéquates chez sa grand-mère paternelle sont ainsi dénuées de pertinence. Le recourant occulte par ailleurs que, si la situation factuelle antérieure à la séparation doit certes être prise en considération pour déterminer le mode de garde, celle prévalant depuis lors doit l'être également. Or il ne conteste pas que l'enfant se trouve chez sa mère depuis la séparation survenue en 2020, ni ne prétend que la structure que l'intimée a actuellement mise en place ne serait pas adéquate.</w:t>
      </w:r>
    </w:p>
    <w:p>
      <w:r>
        <w:rPr>
          <w:b/>
        </w:rPr>
        <w:t>E. 3.2.2</w:t>
      </w:r>
    </w:p>
    <w:p>
      <w:r>
        <w:t>Quoi qu'il en soit, c'est en réalité la situation actuelle du recourant qui a été jugée déterminante par la cour cantonale pour refuser en l'état d'instaurer une garde alternée. La Chambre de surveillance a en effet relevé que le recourant se trouvait dans une situation de logement provisoire, qu'il était sans ressources et en recherche d'emploi: sa situation n'était ainsi pas stabilisée, si bien qu'à défaut de connaître ses conditions de vie futures, l'instauration d'une garde alternée n'apparaissait pas opportune et pour le moins prématurée. Dans ce contexte, la cour cantonale a également relevé qu'il n'était pas souhaitable que la grand-mère paternelle fût mise à contribution pour élever son petit-fils, en raison des différents l'opposant à l'intimée. Le recourant se méprend manifestement sur la portée de cette dernière remarque, laquelle n'implique aucunement de priver sa propre mère de toute relation avec son petit-fils, mais d'éviter une large interférence de l'intéressée dans son éducation, ses différends avec l'intimée étant sur ce point incontestés. Au surplus, les critiques qu'il élève au sujet de sa situation sont parfaitement inefficaces: l'on saisit mal en effet son reproche lié à l'absence d'examen de ses possibilités de réinsertion professionnelle, formulé en référence à la jurisprudence relative à la fixation de l'entretien entre époux. Il est en revanche manifeste que les incertitudes liées à ses futurs emploi et logement rendent difficile une appréciation de leur compatibilité avec l'instauration d'une garde alternée.</w:t>
      </w:r>
    </w:p>
    <w:p>
      <w:r>
        <w:rPr>
          <w:b/>
        </w:rPr>
        <w:t>E. 3.2.3</w:t>
      </w:r>
    </w:p>
    <w:p>
      <w:r>
        <w:t>En sus des particularités liées à la situation du recourant, la cour cantonale s'est référée à l'important conflit qui opposait les parties. Celui-ci ne permettait pas non plus de se déclarer actuellement en faveur du prononcé de la garde partagée, vu le jeune âge de l'enfant; l'autorité cantonale a néanmoins réservé l'évolution de la situation au regard des efforts que les parties avaient entrepris d'effectuer (thérapie familiale et de coparentalité). Contrairement à ce que paraît soutenir le recourant, la référence au conflit parental ne met nullement en doute sa volonté de collaborer en vue de le résoudre ou, à tout le moins l'atténuer. Cette volonté, de même que celle de l'intimée, a d'ailleurs été relevée par la Chambre de surveillance en vue d'une possible évolution de la situation. Il n'en demeure pas moins que, si cette volonté existe de part et d'autre, elle est actuellement insuffisante à surmonter le conflit existant entre les parties. L'on ne saurait en conséquence reprocher à la cour cantonale d'avoir pris en considération cet élément, parmi d'autres, pour refuser en l'état la requête du recourant.</w:t>
      </w:r>
    </w:p>
    <w:p>
      <w:r>
        <w:rPr>
          <w:b/>
        </w:rPr>
        <w:t>E. 3.3</w:t>
      </w:r>
    </w:p>
    <w:p>
      <w:r>
        <w:t>Le recourant ne critique nullement les compétences parentales de l'intimée, ni le fait que celle-ci offre les garanties de stabilité que nécessite la prise en charge d'un jeune enfant. A défaut de critiques idoines de ces éléments factuels (consid. 2.2</w:t>
      </w:r>
    </w:p>
    <w:p>
      <w:r>
        <w:t>supra ), décider de confier la garde de l'enfant à sa mère n'apparaît pas critiquable.</w:t>
      </w:r>
    </w:p>
    <w:p>
      <w:r>
        <w:rPr>
          <w:b/>
        </w:rPr>
        <w:t>E. 4</w:t>
      </w:r>
    </w:p>
    <w:p>
      <w:r>
        <w:t>Le recours est rejeté dans la mesure de sa recevabilité. La requête d'assistance judiciaire du recourant est rejetée, dès lors que ses conclusions étaient d'emblée vouées à l'échec ( art. 64 al. 1 LTF ). Les frais judiciaires sont ainsi mis à sa charge ( art. 66 al. 1 LTF ). Aucune indemnité de dépens n'est accordée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