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5A_987/2019 vom 6. Dezember 2019</w:t>
      </w:r>
    </w:p>
    <w:p>
      <w:r>
        <w:t>Bundesgericht, 2019-12-06, DE</w:t>
      </w:r>
    </w:p>
    <w:p>
      <w:r>
        <w:rPr>
          <w:b/>
        </w:rPr>
        <w:t xml:space="preserve">Quelle: </w:t>
      </w:r>
      <w:r>
        <w:t>https://mcp.opencaselaw.ch/entscheid/bger_5A_987_2019</w:t>
      </w:r>
    </w:p>
    <w:p>
      <w:r>
        <w:t>FR: TF 5A_987/2019 du 6 décembre 2019</w:t>
      </w:r>
    </w:p>
    <w:p>
      <w:r>
        <w:t>IT: TF 5A_987/2019 del 6 dicembre 2019</w:t>
      </w:r>
    </w:p>
    <w:p>
      <w:pPr>
        <w:pStyle w:val="Heading2"/>
      </w:pPr>
      <w:r>
        <w:t>Erwägungen</w:t>
      </w:r>
    </w:p>
    <w:p>
      <w:r>
        <w:rPr>
          <w:b/>
        </w:rPr>
        <w:t>E. 1</w:t>
      </w:r>
    </w:p>
    <w:p>
      <w:r>
        <w:t>Die (anwaltlich verfasste) Beschwerde ist nicht unterschrieben. An sich wäre sie deshalb zur Verbesserung zu retournieren ( Art. 42 Abs. 1 und 5 BGG ). Dies würde jedoch insofern prozessualen Leerlauf bedeuten, als auf die Beschwerde mangels tauglicher Begründung ohnehin nicht einzutreten ist (dazu E. 3).</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Der Beschwerdeführer macht geltend, die Ausdehnung des Besuchsrechtes auf acht Stunden sei ein zentrales Anliegen gewesen und der angefochtene Entscheid stelle deshalb einen wichtigen Erfolg dar. Dennoch habe das Kantonsgericht eine Parteientschädigung abgelehnt und dazu bloss festgehalten, "ein Anspruch sei nicht gegeben", ohne dies zu begründen. Der Entscheid sei mithin nicht nachvollziehbar.</w:t>
      </w:r>
    </w:p>
    <w:p>
      <w:r>
        <w:t>Die Behauptung des Beschwerdeführers ist augenfällig falsch: Das Kantonsgericht hat explizit und nachvollziehbar begründet, wieso es keine Parteientschädigung gewährte, indem es festhielt, dass es auf Art. 107 Abs. 1 lit. c ZPO und nicht auf Art. 106 ZPO abstelle, und indem es erwog, dass die Anordnung der KESB grundsätzlich gerechtfertigt gewesen sei und die Trennung der Eltern ohnehin eine Neuregelung des Besuchsrechts erforderlich gemacht habe, weshalb ein Anspruch auf Parteientschädigung nicht gegeben sei.</w:t>
      </w:r>
    </w:p>
    <w:p>
      <w:r>
        <w:t>Damit setzt sich der Beschwerdeführer nicht auseinander, weshalb die Beschwerde offensichtlich nicht hinreichend begründet ist. Auf sie kann mithin nicht eingetreten werden und der Präsident entscheidet im vereinfachten Verfahren ( Art. 108 Abs. 1 lit. b BGG ).</w:t>
      </w:r>
    </w:p>
    <w:p>
      <w:r>
        <w:rPr>
          <w:b/>
        </w:rPr>
        <w:t>E. 4</w:t>
      </w:r>
    </w:p>
    <w:p>
      <w:r>
        <w:t>Wie die vorstehenden Erwägungen zeigen, konnte der Beschwerde angesichts der unzureichenden Begründung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