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5A_987/2015 vom 18. März 2016</w:t>
      </w:r>
    </w:p>
    <w:p>
      <w:r>
        <w:t>Bundesgericht, 2016-03-18, FR</w:t>
      </w:r>
    </w:p>
    <w:p>
      <w:r>
        <w:rPr>
          <w:b/>
        </w:rPr>
        <w:t xml:space="preserve">Quelle: </w:t>
      </w:r>
      <w:r>
        <w:t>https://mcp.opencaselaw.ch/entscheid/bger_5A_987_2015</w:t>
      </w:r>
    </w:p>
    <w:p>
      <w:r>
        <w:t>FR: TF 5A_987/2015 du 18 mars 2016</w:t>
      </w:r>
    </w:p>
    <w:p>
      <w:r>
        <w:t>IT: TF 5A_987/2015 del 18 marzo 2016</w:t>
      </w:r>
    </w:p>
    <w:p>
      <w:pPr>
        <w:pStyle w:val="Heading2"/>
      </w:pPr>
      <w:r>
        <w:t>Erwägungen</w:t>
      </w:r>
    </w:p>
    <w:p>
      <w:r>
        <w:rPr>
          <w:b/>
        </w:rPr>
        <w:t>E. 1</w:t>
      </w:r>
    </w:p>
    <w:p>
      <w:r>
        <w:t>L'arrêt entrepris, qui a pour objet les modalités d'exercice du droit aux relations personnelles du parent non gardien sur sa fille née hors mariage, est une décision prise en application de normes de droit public dans une matière connexe au droit civil (art. 72 al. 2 let. b ch. 6 LTF; arrêts 5A_782/2013 du 9 décembre 2013 consid. 1; 5A_763/2011 du 7 mars 2012 consid. 1). La question soumise au Tribunal fédéral est de nature non pécuniaire (arrêts 5A_366/2010 du 4 janvier 2011 consid. 1.1; 5D_41/2007 du 27 novembre 2007 consid. 2.3). Par ailleurs, le recours a été interjeté dans le délai ( art. 100 al. 1 LTF ) et la forme ( art. 42 al. 1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recevable au regard des dispositions qui précèdent.</w:t>
      </w:r>
    </w:p>
    <w:p>
      <w:r>
        <w:rPr>
          <w:b/>
        </w:rPr>
        <w:t>E. 2.1</w:t>
      </w:r>
    </w:p>
    <w:p>
      <w:r>
        <w:t>Le recours en matière civile peut être interjeté pour violation du droit, tel qu'il est délimité par les art. 95 et 96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135 III 397 consid. 1.4; 134 III 102 consid. 1.1). Par exception à la règle selon laquelle il applique le droit d'office, le Tribunal fédéral ne peut entrer en matière sur la violation d'un droit fondamental que si le grief a été expressément soulevé et motivé de façon claire et détaillée. La partie recourante doit donc indiquer quelle disposition constitutionnelle a été violée et démontrer, par une argumentation précise, en quoi consiste la violation ("principe d'allégation", art. 106 al. 2 LTF ; ATF 139 I 229 consid. 2.2; 137 II 305 consid. 3.3; 135 III 232 consid. 1.2, 397 consid. 1.4</w:t>
      </w:r>
    </w:p>
    <w:p>
      <w:r>
        <w:t>in fine ). Les critiques de nature appellatoire sont irrecevables ( ATF 140 III 264 consid. 2.3; 139 II 404 consid. 10.1 et les arrêts cités).</w:t>
      </w:r>
    </w:p>
    <w:p>
      <w:r>
        <w:rPr>
          <w:b/>
        </w:rPr>
        <w:t>E. 2.2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w:t>
      </w:r>
    </w:p>
    <w:p>
      <w:r>
        <w:t>cf. supra consid. 2.1).</w:t>
      </w:r>
    </w:p>
    <w:p>
      <w:r>
        <w:t>Selon l' art. 99 al. 1 LTF , aucun fait nouveau ni preuve nouvelle ne peut être présenté à moins de résulter de la décision de l'autorité précédente ( art. 99 al. 1 LTF ; ATF 135 I 221 consid. 5.2.4; 133 IV 342 consid. 2.1), de même que les faits et pièces postérieurs à l'arrêt entrepris ( ATF 133 IV 342 consid. 2.1). Il s'ensuit que les faits relatés par le recourant concernant l'hospitalisation de la mère depuis le 25 novembre 2015, et le placement consécutif de l'enfant en foyer, qui sont postérieurs à l'arrêt dont est recours, sont d'emblée irrecevables. Pour le surplus, les faits - essentiellement procéduraux - retranscrits par le recourant ressortent de la décision querellée, singulièrement les déclarations de la mère et la modification des conclusions des experts lors d'une audience du 30 juin 2014.</w:t>
      </w:r>
    </w:p>
    <w:p>
      <w:r>
        <w:rPr>
          <w:b/>
        </w:rPr>
        <w:t>E. 3</w:t>
      </w:r>
    </w:p>
    <w:p>
      <w:r>
        <w:t>Le recourant soutient que l'arrêt de la Cour de justice consacre une violation des art. 9 Cst. , en relation avec l' art. 4 CC , et 8 CEDH en lien avec l' art. 274 al. 2 CC . Après avoir rappelé la protection offerte par les normes précitées, le recourant expose que sa fille est privée de ses deux parents, " pour des motifs qui datent d'il y a un an et demi ", en sorte que la décision querellée, qui méconnaît les " circonstances nouvelles ", est insoutenable. Ce faisant, le recourant se limite à opposer sa propre appréciation de la cause, au demeurant fondée sur des faits qui ne ressortent pas de l'arrêt entrepris et irrecevables devant le Tribunal fédéral (</w:t>
      </w:r>
    </w:p>
    <w:p>
      <w:r>
        <w:t>cf. supra consid. 2.2), à celle de la cour cantonale, sans démontrer en quoi la motivation de l'autorité précédente consacrerait une violation de ses droits fondamentaux. Faute de motivation suffisante, le grief de violation des art. 9 Cst. et 8 CEDH est irrecevable ( art. 106 al. 2 LTF ;</w:t>
      </w:r>
    </w:p>
    <w:p>
      <w:r>
        <w:t>cf. supra consid. 2.1).</w:t>
      </w:r>
    </w:p>
    <w:p>
      <w:r>
        <w:t>Dans le même paragraphe, le recourant reproche au TPAE et à la Cour de justice de ne pas avoir entendu les parties, le SPMi et l'enfant, voire le pédopsychiatre de celle-ci. Il ne soulève cependant pas - même de manière implicite - le grief d'appréciation arbitraire des faits et des preuves ( art. 9 Cst. ,</w:t>
      </w:r>
    </w:p>
    <w:p>
      <w:r>
        <w:t>cf. supra consid. 2.2), ni la garantie du droit à un procès équitable ( art. 29 al. 1 Cst. ), ni même la violation du droit d'être entendu ( art. 29 al. 2 Cst. ), de sorte que, à la lecture de son exposé, on ne comprend pas clairement quel droit aurait été, selon lui, transgressé par le TPAE et l'autorité cantonale. Non motivé, ce grief est irrecevable (art. 42 al. 2 et 106 al. 2 LTF;</w:t>
      </w:r>
    </w:p>
    <w:p>
      <w:r>
        <w:t>cf. supra consid. 2.1).</w:t>
      </w:r>
    </w:p>
    <w:p>
      <w:r>
        <w:rPr>
          <w:b/>
        </w:rPr>
        <w:t>E. 4</w:t>
      </w:r>
    </w:p>
    <w:p>
      <w:r>
        <w:t>Le recourant fait valoir que la Cour de justice a violé de manière arbitraire ( art. 9 Cst. ) l'art. 314a</w:t>
      </w:r>
    </w:p>
    <w:p>
      <w:r>
        <w:t>bis al. 1 et 2 ch. 2 CC, en refusant d'ordonner la représentation de l'enfant par un curateur. Le recourant se contente toutefois d'affirmer qu'il "estime que le pouvoir d'appréciation du juge et sa pesée des intérêts sont arbitraires et contraires aux arrêts du Tribunal fédéral ", dès lors que la procédure n'est pas terminée. Il n'explicite ainsi pas plus avant son grief, singulièrement, il ne précise pas en quoi la cour cantonale aurait outrepassé son pouvoir d'appréciation, aurait méconnu certains éléments ou aurait au contraire tenu compte de faits étrangers à la présente cause : une telle motivation est manifestement insuffisante (art. 42 al. 2 et 106 al. 2 LTF), en sorte que le grief est irrecevable (</w:t>
      </w:r>
    </w:p>
    <w:p>
      <w:r>
        <w:t>cf. supra consid. 2.1).</w:t>
      </w:r>
    </w:p>
    <w:p>
      <w:r>
        <w:rPr>
          <w:b/>
        </w:rPr>
        <w:t>E. 5</w:t>
      </w:r>
    </w:p>
    <w:p>
      <w:r>
        <w:t>S'agissant enfin des paragraphes intitulés " Inopportunité de la décision " et " Violation du droit et arbitraire ", ces critiques sont également d'emblée irrecevables car le recourant reproduit l'argumentation qu'il a développée devant la Cour de justice contre la décision de première instance. Or, l' art. 42 al. 2 LTF exige que le recourant discute au moins de manière succincte les considérants de la décision entreprise; il doit exister un lien entre la motivation et la décision attaquée. Cette condition fait défaut si le recourant présente mot pour mot la même motivation que celle formulée devant l'autorité précédente ou renvoie à cette motivation (arrêt 5A_245/2013 du 24 septembre 2013 consid. 1.3) - et s'en prend ce faisant à la décision de première instance -, ainsi que le recourant le fait en l'espèce.</w:t>
      </w:r>
    </w:p>
    <w:p>
      <w:r>
        <w:rPr>
          <w:b/>
        </w:rPr>
        <w:t>E. 6</w:t>
      </w:r>
    </w:p>
    <w:p>
      <w:r>
        <w:t>En définitive, le recours doit être déclaré irrecevable. La requête d'assistance judiciaire du recourant pour la procédure fédérale ne saurait être agréée, ses conclusions étant d'emblée dénuées de chances de succès ( art. 64 al. 1 LTF ). Les frais judiciaires, arrêtés à 1'000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