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5A_986/2019 vom 24. Februar 2020</w:t>
      </w:r>
    </w:p>
    <w:p>
      <w:r>
        <w:t>Bundesgericht, 2020-02-24, DE</w:t>
      </w:r>
    </w:p>
    <w:p>
      <w:r>
        <w:rPr>
          <w:b/>
        </w:rPr>
        <w:t xml:space="preserve">Quelle: </w:t>
      </w:r>
      <w:r>
        <w:t>https://mcp.opencaselaw.ch/entscheid/bger_5A_986_2019</w:t>
      </w:r>
    </w:p>
    <w:p>
      <w:r>
        <w:t>FR: TF 5A_986/2019 du 24 février 2020</w:t>
      </w:r>
    </w:p>
    <w:p>
      <w:r>
        <w:t>IT: TF 5A_986/2019 del 24 febbraio 2020</w:t>
      </w:r>
    </w:p>
    <w:p>
      <w:pPr>
        <w:pStyle w:val="Heading2"/>
      </w:pPr>
      <w:r>
        <w:t>Erwägungen</w:t>
      </w:r>
    </w:p>
    <w:p>
      <w:r>
        <w:rPr>
          <w:b/>
        </w:rPr>
        <w:t>E. 1.1</w:t>
      </w:r>
    </w:p>
    <w:p>
      <w:r>
        <w:t>Die Beschwerde ist zulässig gegen Entscheide, die das Verfahren abschliessen ( Art. 90 BGG ), nur einen Teil der gestellten Begehren behandeln, wenn diese Begehren unabhängig von den anderen beurteilt werden können (Art. 91 Bst. a BGG), das Verfahren nur für einen Teil der Streitgenossen und Streitgenossinnen abschliessen (Art. 91 Bst. b BGG) sowie gegen selbständig eröffnete Zwischenentscheide über die Zuständigkeit und über Ausstandsbegehren ( Art. 92 BGG ). Gegen andere selbständig eröffnete Zwischenentscheide ist die Beschwerde nur zulässig, wenn sie einen nicht wieder gutzumachenden Nachteil bewirken können (Art. 93 Abs. 1 Bst. a BGG), oder wenn die Gutheissung der Beschwerde sofort einen Endentscheid herbeiführen und damit einen bedeutenden Aufwand an Zeit oder Kosten für ein weitläufiges Beweisverfahren ersparen würde (Art. 93 Abs. 1 Bst. b BGG). Es obliegt der Beschwerde führenden Partei aufzuzeigen, inwiefern die Eintretensvoraussetzungen erfüllt sind, es sei denn, diese lägen geradezu auf der Hand ( BGE 144 III 475 E. 1.2).</w:t>
      </w:r>
    </w:p>
    <w:p>
      <w:r>
        <w:t>Im Zivilrecht sind Rückweisungsentscheide des Berufungsgerichts generell als Vor- bzw. Zwischenentscheide zu qualifizieren ( BGE 145 III 42 E. 2.1).</w:t>
      </w:r>
    </w:p>
    <w:p>
      <w:r>
        <w:rPr>
          <w:b/>
        </w:rPr>
        <w:t>E. 1.2</w:t>
      </w:r>
    </w:p>
    <w:p>
      <w:r>
        <w:t>Mit dem angefochtenen Entscheid weist das Obergericht als Berufungsgericht die Sache zur weiteren Behandlung an das Kantonsgericht zurück. Weder behandelt er nur einen Teil der gestellten Begehren (Art. 91 Bst. a BGG) noch schliesst er das Verfahren für einen Teil der Streitgenossen ab (Art. 91 Bst. b BGG). Ebenso wenig befasst er sich mit der Zuständigkeit oder mit einem Ausstandsbegehren. Damit kann er nur unter den Voraussetzungen von Art. 93 BGG direkt beim Bundesgericht angefochten werden. Die Beschwerdeführerin verkennt diese Eintretensfrage und äussert sich nicht zu den Beschwerdevoraussetzungen nach Art. 93 BGG , und es liegt im Übrigen auch nicht auf der Hand, dass ein Fall von Art. 93 Abs. 1 BGG gegeben ist.</w:t>
      </w:r>
    </w:p>
    <w:p>
      <w:r>
        <w:t>Auf die Beschwerde kann daher nicht eingetreten werden.</w:t>
      </w:r>
    </w:p>
    <w:p>
      <w:r>
        <w:rPr>
          <w:b/>
        </w:rPr>
        <w:t>E. 2</w:t>
      </w:r>
    </w:p>
    <w:p>
      <w:r>
        <w:t>Ausgangsgemäss trägt die Beschwerdeführerin die Verfahrenskosten ( Art. 66 Abs. 1 BGG ). Den Beschwerdegegnern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