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982/2017 vom 11. Dezember 2017</w:t>
      </w:r>
    </w:p>
    <w:p>
      <w:r>
        <w:t>Bundesgericht, 2017-12-11, FR</w:t>
      </w:r>
    </w:p>
    <w:p>
      <w:r>
        <w:rPr>
          <w:b/>
        </w:rPr>
        <w:t xml:space="preserve">Quelle: </w:t>
      </w:r>
      <w:r>
        <w:t>https://mcp.opencaselaw.ch/entscheid/bger_5A_982_2017</w:t>
      </w:r>
    </w:p>
    <w:p>
      <w:r>
        <w:t>FR: TF 5A 982/2017 du 11 décembre 2017</w:t>
      </w:r>
    </w:p>
    <w:p>
      <w:r>
        <w:t>IT: TF 5A 982/2017 del 11 dicembre 2017</w:t>
      </w:r>
    </w:p>
    <w:p>
      <w:pPr>
        <w:pStyle w:val="Heading2"/>
      </w:pPr>
      <w:r>
        <w:t>Regeste</w:t>
      </w:r>
    </w:p>
    <w:p>
      <w:r>
        <w:t>curatelle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6 novembre 2017, la Chambre de surveillance de la Cour de justice du canton de Genève a déclaré irrecevable, pour défaut de motivation et de conclusion, le recours formé le 27 octobre 2017 par A.________ contre l'ordonnance rendue le 29 septembre 2017 par le Tribunal de protection de l'adulte et de l'enfant instaurant une curatelle de portée générale en faveur de B.________ (née en 1930) et désignant deux de ses fils, C.________ et D.________, aux fonctions de curateurs.</w:t>
      </w:r>
    </w:p>
    <w:p>
      <w:r>
        <w:rPr>
          <w:b/>
        </w:rPr>
        <w:t>E. 2</w:t>
      </w:r>
    </w:p>
    <w:p>
      <w:r>
        <w:t>Par acte remis le 5 décembre 2017 à la Poste suisse à l'adresse de la Chambre de surveillance de la Cour de justice du canton de Genève, A._______, l'époux de la personne placée sous protection, exerce un recours en matière civile au Tribunal fédéral. Autant que le recourant ne s'en prend pas à la décision de première instance, et autant que son écriture est intelligible, le recourant ne soulève aucun grief, a fortiori tendant à démontrer que le raisonnement de l'arrêt querellé prononçant l'irrecevabilité du recours cantonal serait contraire au droit ou à la Constitution. Il s'ensuit que le présent recours ne satisfait aucunement aux exigences minimales des art. 42 al. 2 et 106 al. 2 LTF, de sorte qu'il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