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5A_979/2018 vom 7. Dezember 2018</w:t>
      </w:r>
    </w:p>
    <w:p>
      <w:r>
        <w:t>Bundesgericht, 2018-12-07, DE</w:t>
      </w:r>
    </w:p>
    <w:p>
      <w:r>
        <w:rPr>
          <w:b/>
        </w:rPr>
        <w:t xml:space="preserve">Quelle: </w:t>
      </w:r>
      <w:r>
        <w:t>https://mcp.opencaselaw.ch/entscheid/bger_5A_979_2018</w:t>
      </w:r>
    </w:p>
    <w:p>
      <w:r>
        <w:t>FR: TF 5A_979/2018 du 7 décembre 2018</w:t>
      </w:r>
    </w:p>
    <w:p>
      <w:r>
        <w:t>IT: TF 5A_979/2018 del 7 dicembre 2018</w:t>
      </w:r>
    </w:p>
    <w:p>
      <w:pPr>
        <w:pStyle w:val="Heading2"/>
      </w:pPr>
      <w:r>
        <w:t>Erwägungen</w:t>
      </w:r>
    </w:p>
    <w:p>
      <w:r>
        <w:rPr>
          <w:b/>
        </w:rPr>
        <w:t>E. 1</w:t>
      </w:r>
    </w:p>
    <w:p>
      <w:r>
        <w:t>Angefochten ist ein Entscheid betreffend die Abänderung einer vorsorglichen Massnahme, welcher seinerseits ein Massnahmeentscheid ist. Diesbezüglich kann einzig die Verletzung verfassungsmässiger Rechte gerügt werden ( Art. 98 BGG ).</w:t>
      </w:r>
    </w:p>
    <w:p>
      <w:r>
        <w:rPr>
          <w:b/>
        </w:rPr>
        <w:t>E. 2</w:t>
      </w:r>
    </w:p>
    <w:p>
      <w:r>
        <w:t>In der Beschwerde werden keinerlei verfassungsmässige Rechte als verletzt angerufen, geschweige denn erfolgen substanziierte Rügen, wie sie zur Begründung von Verfassungsrügen erforderlich wären ( Art. 106 Abs. 2 BGG ), sondern rein appellatorische Ausführungen, wie sie zur Begründung von Verfassungsrügen unzureichend sind (vgl. BGE 134 II 244 E. 2.2 S. 246 ; 141 I 36 E. 1.3 S. 41; 142 II 369 E. 2.1 S. 372; 142 III 364 E. 2.4 S. 368).</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in Bezug auf die Gerichtskosten gegenstandslos. In Bezug auf die unentgeltliche Rechtsvertretung ist es abzuweisen, weil die Beschwerde mangels tauglicher Rügen von Anfang an aussichtslos war und es deshalb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