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5A_979/2017 vom 21. März 2018</w:t>
      </w:r>
    </w:p>
    <w:p>
      <w:r>
        <w:t>Bundesgericht, 2018-03-21, DE</w:t>
      </w:r>
    </w:p>
    <w:p>
      <w:r>
        <w:rPr>
          <w:b/>
        </w:rPr>
        <w:t xml:space="preserve">Quelle: </w:t>
      </w:r>
      <w:r>
        <w:t>https://mcp.opencaselaw.ch/entscheid/bger_5A_979_2017</w:t>
      </w:r>
    </w:p>
    <w:p>
      <w:r>
        <w:t>FR: TF 5A_979/2017 du 21 mars 2018</w:t>
      </w:r>
    </w:p>
    <w:p>
      <w:r>
        <w:t>IT: TF 5A_979/2017 del 21 marzo 2018</w:t>
      </w:r>
    </w:p>
    <w:p>
      <w:pPr>
        <w:pStyle w:val="Heading2"/>
      </w:pPr>
      <w:r>
        <w:t>Erwägungen</w:t>
      </w:r>
    </w:p>
    <w:p>
      <w:r>
        <w:rPr>
          <w:b/>
        </w:rPr>
        <w:t>E. 1.1</w:t>
      </w:r>
    </w:p>
    <w:p>
      <w:r>
        <w:t>Vor dem Obergericht des Kantons Zürich war in erster Linie ein Fristwiederherstellungsgesuch streitig, welches im Rahmen eines Erbteilungsverfahrens im Zusammenhang mit der Anfechtung einer prozessleitenden Verfügung in einem Verfahren um Bestellung einer Erbenvertretung gestellt worden war. Aus der Sicht des Bundesgerichtsgesetzes stellt sich der angefochtene Entscheid, der das Verfahren in der Hauptsache nicht beendet, als selbständig eröffneter Zwischenentscheid dar (vgl. BGE 137 III 380 E. 1.1). Bei Zwischenentscheiden folgt der Rechtsweg der Hauptsache. Dort geht es um die Bestellung einer Erbenvertretung (zur Qualifizierung des Entscheids über die Einsetzung eines Erbenvertreters als Endentscheid i.S.v. Art. 90 BGG : Urteil 5D_133/2010 vom 12. Januar 2011 E. 1.1), sodass eine vermögensrechtliche Zivilsache ( Art. 72 Abs. 1 BGG ; zur vermögensrechtlichen Natur: Urteil 5A_518/2014 vom 24. November 2014 E. 1 mit Hinweisen) streitig ist, deren Streitwert den gesetzlich geforderten Mindestbetrag erreicht ( Art. 74 Abs. 1 lit. b BGG ). Die Beschwerdeführerin ist zur Beschwerdeführung legitimiert ( Art. 76 Abs. 1 BGG ). Die Beschwerde in Zivilsachen ist dem Grundsatze nach gegeben.</w:t>
      </w:r>
    </w:p>
    <w:p>
      <w:r>
        <w:rPr>
          <w:b/>
        </w:rPr>
        <w:t>E. 1.2</w:t>
      </w:r>
    </w:p>
    <w:p>
      <w:r>
        <w:t>Die Einsetzung eines Erbenvertreters ist eine vorsorgliche Massnahme im Sinne von Art. 98 BGG (Urteil 5A_781/2017 vom 20. Dezember 2017 mit Hinweisen). Weil gegen Entscheide über vorsorgliche Massnahmen nur die Verletzung verfassungsmässiger Rechte gerügt werden kann ( Art. 98 BGG ), gilt diese Kognitionsbeschränkung auch für das vorliegende Verfahren. Es gilt das strenge Rügeprinzip gemäss Art. 106 Abs. 2 BGG . Das bedeutet, dass das Bundesgericht nur klar und detailliert erhobene und soweit möglich belegte Rügen prüft, während es auf ungenügend begründete Rügen und rein appellatorische Kritik am angefochtenen Entscheid nicht eintritt ( BGE 134 II 244 E. 2.2 ; 141 I 36 E. 1.3; 142 III 364 E. 2.4; 142 II 369 E. 2.1; je mit Hinweisen).</w:t>
      </w:r>
    </w:p>
    <w:p>
      <w:r>
        <w:rPr>
          <w:b/>
        </w:rPr>
        <w:t>E. 2</w:t>
      </w:r>
    </w:p>
    <w:p>
      <w:r>
        <w:t>Die Beschwerdeführerin richtet ihre Beschwerde gegen das Obergericht des Kantons Zürich; die Parteien des Erbteilungsverfahrens, die eine notwendige Streitgenossenschaft bilden ( BGE 130 III 550 E. 2.1.1 mit Hinweisen), und zwar auch für die Bestellung einer Erbenvertretung (Urteil 5D_133/2010 vom 12. Januar 2011 E. 1.4), nennt sie nicht. Offensichtlich übersieht die Beschwerdeführerin, dass das Obergericht nicht Partei im vorinstanzlichen Verfahren war, sondern urteilende Instanz, und es nicht zur Partei im Beschwerdeverfahren gemacht werden kann. Ob allein gestützt auf diese Feststellung nicht auf die Beschwerde einzutreten ist, oder ob das Verbot des überspitzten Formalismus einen solchen Schritt ausschliesst, kann offen bleiben, denn die weiteren Erwägungen führen zu keinem anderen Ergebnis.</w:t>
      </w:r>
    </w:p>
    <w:p>
      <w:r>
        <w:rPr>
          <w:b/>
        </w:rPr>
        <w:t>E. 3</w:t>
      </w:r>
    </w:p>
    <w:p>
      <w:r>
        <w:t>Gegen einen Zwischenentscheid kann die Beschwerde in Zivilsachen - abgesehen von weiteren hier nicht interessierenden Ausnahmen - nur dann ergriffen werden, wenn ein nicht wieder gutzumachender Nachteil droht ( Art. 93 Abs. 1 lit. a BGG ). Dieser muss nach der bundesgerichtlichen Rechtsprechung rechtlicher Natur sein, was voraussetzt, dass er sich auch mit einem späteren günstigen Endentscheid in der Hauptsache nicht oder nicht gänzlich beseitigen lässt; dagegen reichen rein tatsächliche Nachteile wie die Verfahrensverlängerung oder -verteuerung nicht aus. In der Beschwerde ist im Einzelnen darzulegen, inwiefern der nicht wieder gutzumachende Nachteil gegeben ist, ansonsten auf sie nicht eingetreten werden kann ( BGE 142 III 798 E. 2.2 mit Hinweisen).</w:t>
      </w:r>
    </w:p>
    <w:p>
      <w:r>
        <w:t>Einen solchen Nachteil tut die Beschwerdeführerin nicht dar. Sie trägt zwar allerlei Gründe vor, weshalb Fehler im Verfahren passiert seien und vorab gewisse Rechts-, namentlich Eintretensfragen hätten beantwortet werden müssen, übersieht dabei allerdings, dass die dem Streit zu Grunde liegende Verfügung vom 22. August 2017 ihr - lediglich, aber immerhin - die Möglichkeit einräumt, sich zum Gesuch ihrer Mutter um Bestellung einer Erbenvertretung zu äussern. Die Verfügung dient folglich der Gewährung des rechtlichen Gehörs, und es ist nicht einzusehen, inwiefern der Beschwerdeführerin dadurch ein nicht wieder gutzumachender Nachteil drohen könnte.</w:t>
      </w:r>
    </w:p>
    <w:p>
      <w:r>
        <w:rPr>
          <w:b/>
        </w:rPr>
        <w:t>E. 4</w:t>
      </w:r>
    </w:p>
    <w:p>
      <w:r>
        <w:t>Schliesslich wies das Obergericht das Gesuch um Wiederherstellung der Rechtsmittelfrist nicht nur ab, sondern nahm im Rahmen einer Eventualbegründung auch zur Sache Stellung. Es erwog, weil die erstmals beschwerdeweise beantragte Trennung der Verfahren nicht Gegenstand der angefochtenen Verfügung gewesen und dieser Antrag infolge des Novenverbots unzulässig sei, wäre der Beschwerde auch in der Sache kein Erfolg beschieden. Die Beschwerdeführerin befasst sich zwar mit dem oberinstanzlichen Einwand, aber in einer nicht nachvollziehbaren Weise (es widerspreche von vornherein der logischen Voraussetzung, bei einer Prozessleitung von einem Novenverbot zu sprechen; weil die Prozessvoraussetzungen nicht gegeben seien, könne ihre Rüge gar kein Novum sein; im Übrigen handle es sich [beim Begehren um Trennung der Klagen] nicht um einen Antrag, sondern um eine Rüge, da für das Gesuch um Bestellung eines Erbenvertreters für die Streitwertberechnung ebenso der ganze Nachlasswert als Grundlage angenommen werde, was unverhältnismässig und willkürlich sei). Diese Ausführungen genügen den spezifischen Begründungsanforderungen (E. 1.2) offensichtlich nicht. Sollte es sich so verhalten, wie die Beschwerdeführerin meint, dass sie vor Obergericht keinen Antrag gestellt, sondern nur Rügen vorgetragen hat, wäre der Beschwerde die Grundlage entzogen.</w:t>
      </w:r>
    </w:p>
    <w:p>
      <w:r>
        <w:rPr>
          <w:b/>
        </w:rPr>
        <w:t>E. 5</w:t>
      </w:r>
    </w:p>
    <w:p>
      <w:r>
        <w:t>Aus den dargelegten Gründen ist auf die Beschwerde nicht einzutreten. Die Beschwerdeführerin unterliegt; sie wird kosten- ( Art. 66 Abs. 1 BGG ), nicht aber entschädigungspflichtig, zumal den Prozessgegnern kein entschädigungspflichtiger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