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976/2019 vom 28. Juli 2020</w:t>
      </w:r>
    </w:p>
    <w:p>
      <w:r>
        <w:t>Bundesgericht, 2020-07-28, DE</w:t>
      </w:r>
    </w:p>
    <w:p>
      <w:r>
        <w:rPr>
          <w:b/>
        </w:rPr>
        <w:t xml:space="preserve">Quelle: </w:t>
      </w:r>
      <w:r>
        <w:t>https://mcp.opencaselaw.ch/entscheid/bger_5A_976_2019</w:t>
      </w:r>
    </w:p>
    <w:p>
      <w:r>
        <w:t>FR: TF 5A 976/2019 du 28 juillet 2020</w:t>
      </w:r>
    </w:p>
    <w:p>
      <w:r>
        <w:t>IT: TF 5A 976/2019 del 28 luglio 2020</w:t>
      </w:r>
    </w:p>
    <w:p>
      <w:pPr>
        <w:pStyle w:val="Heading2"/>
      </w:pPr>
      <w:r>
        <w:t>Regeste</w:t>
      </w:r>
    </w:p>
    <w:p>
      <w:r>
        <w:t>Zahlungsbefehl | Schuldbetreibungs- und Konkursrecht</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Der Beschluss bezieht sich auf die zeitweilige Sistierung des Beschwerdeverfahrens. Der Beschwerdeführer hatte beantragt, das Verfahren vor der Vorinstanz zu sistieren, bis die Aufsichtskommission über die Anwältinnnen und Anwälte über die Zulässigkeit der Vertretung in zwei näher bezeichneten Parallelverfahren mit engem Konnex zum vorliegenden Verfahren und gleichem Sachverhalt entschieden habe. Zur Begründung hatte er auf die Interessenkollision verwiesen, in welchem sich die betreffende Anwaltskanzlei befinde, womit das Bundesgesetz über die Freizügigkeit der Anwälte und Anwältinnen (BGFA) und die Standesregeln des Schweizerischen Anwaltsverbandes verletzt würden. Zudem gehe es um die Rechtssicherheit und die Vermeidung widersprüchlicher Urteile.</w:t>
      </w:r>
    </w:p>
    <w:p>
      <w:r>
        <w:rPr>
          <w:b/>
        </w:rPr>
        <w:t>E. 2.2</w:t>
      </w:r>
    </w:p>
    <w:p>
      <w:r>
        <w:t>Die Vorinstanz lehnte mit dem nunmehr angefochtenen Beschluss die Sistierung des Verfahrens ab. Zwar lägen den Parallelverfahren ähnliche Sachverhalte zugrunde wie im vorliegenden Prozess. Indes gehe es weder um dieselben Steuerschulden noch seien diese das zentrale Thema. Auch wenn sich in allen drei Beschwerdeverfahren die gleiche Rechtsfrage stelle, liege darin noch kein Anlass für eine Sistierung. Es spiele keine Rolle, in welchem Verfahren diese Rechtsfrage zuerst behandelt werde. Auf jeden Fall hänge die Antwort darauf nicht vom Entscheid über die Zulässigkeit der Vertretung der jeweiligen Gegenpartei durch eine bestimmte Anwaltskanzlei ab. Damit müsse der Entscheid der Aufsichtskommission über die Anwältinnen und Anwälte nicht abgewartet werden.</w:t>
      </w:r>
    </w:p>
    <w:p>
      <w:r>
        <w:rPr>
          <w:b/>
        </w:rPr>
        <w:t>E. 2.3</w:t>
      </w:r>
    </w:p>
    <w:p>
      <w:r>
        <w:t>Der Beschwerdeführer zeigt sich durch die vorinstanzliche Abweisung seines Sistierungsgesuchs irritiert. Er wirft der Vorinstanz eine Verletzung des rechtlichen Gehörs vor, da sie seine klaren und nachgewiesenen Vorbringen nicht berücksichtigt und in keiner Weise gewürdigt habe. Der Beschwerdeführer beantragt die Sistierung des vorinstanzlichen Beschwerdeverfahrens bis zum Entscheid der Aufsichtskommission über die Anwältinnen und Anwälte.</w:t>
      </w:r>
    </w:p>
    <w:p>
      <w:r>
        <w:rPr>
          <w:b/>
        </w:rPr>
        <w:t>E. 2.4</w:t>
      </w:r>
    </w:p>
    <w:p>
      <w:r>
        <w:t>Entgegen der Behauptung des Beschwerdeführers hat die Vorinstanz seine Schilderungen des Interessenkonfliktes, in dem sich die Anwälte der Beschwerdegegner befinden, bei der Beurteilung des Sistierungsgesuchs sehr wohl berücksichtigt. Von einer Verletzung des rechtlichen Gehörs kann somit keine Rede sein (vgl. dazu BGE 143 V 71 E. 4.1). Davon zu unterscheiden sind die Motive der Begründung, welche indes nicht das rechtliche Gehör, sondern die Anwendung des materiellen Rechts beschlagen. Der Beschwerdeführer legt dem Bundesgericht zwar die mutmasslichen Verfehlungen der Beschwerdegegner (betreffend die Mandatierung einer Anwaltskanzlei) in den Parallelverfahren einlässlich dar. Gleichwohl geht aus seinen Vorbringen nicht hervor, inwiefern sich die Ablehnung der Sistierung des vorinstanzlichen Verfahrens auf den angefochtenen Endentscheid auswirkte ( Art. 93 Abs. 3 BGG ). Insoweit ist auf die Beschwerde nicht einzutreten.</w:t>
      </w:r>
    </w:p>
    <w:p>
      <w:r>
        <w:rPr>
          <w:b/>
        </w:rPr>
        <w:t>E. 3</w:t>
      </w:r>
    </w:p>
    <w:p>
      <w:r>
        <w:t>In der Sache besteht nach Ansicht der Vorinstanz kein Anlass, den Zahlungsbefehl in der Betreibung Nr. yyy des Betreibungsamtes Küsnacht-Zollikon-Zumikon aufzuheben. Insbesondere erweise sich der strittige Zahlungsbefehl aufgrund der (teils pauschalen) Ausführungen des Beschwerdeführers keineswegs als nichtig. Demgegenüber besteht der Beschwerdeführer darauf, dass der Zahlungsbefehl an wesentlichen Mängeln leide und darum nichtig sei.</w:t>
      </w:r>
    </w:p>
    <w:p>
      <w:r>
        <w:rPr>
          <w:b/>
        </w:rPr>
        <w:t>E. 4</w:t>
      </w:r>
    </w:p>
    <w:p>
      <w:r>
        <w:t>Anlass der Beschwerde bildet die Gültigkeit eines Zahlungsbefehls in einer Betreibung, die auf Geldzahlung lautet. Strittig ist insbesondere die Umschreibung des Forderungsgrundes auf dem Zahlungsbefehl.</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S.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yyy unter der Rubrik "Forderungsurkunde mit Datum oder Angabe des Forderungsgrundes" folgende Angaben: "1. Einschätzungsentscheide, Rechnungen, Rechtsmittelentscheide insbesondere Urteil des Bundesgerichts vom 18. September 2018 betreffend Staats- und Gemeindesteuern Zürich der Steuerperioden 2010, 2011, 2012 und 2013 sowie Sicherstellungsverfügung vom 3. April 2017, Betrag CHF 39'591'744.80 Zins 4.5 % seit 31.03.2017 2. CHF 3'728'365.25." Die Vorinstanz erläuterte dem Beschwerdeführer (im Wesentlichen unter Hinweis auf die Erstinstanz), dass der Zahlungsbefehl nicht aufgrund einzelner Angaben, sondern als Ganzes betrachtet werden müsse. Soweit in diesem Punkt überhaupt eine rechtsgenüglich begründete Beschwerde vorliege, müsse sie abgewiesen werden.</w:t>
      </w:r>
    </w:p>
    <w:p>
      <w:r>
        <w:rPr>
          <w:b/>
        </w:rPr>
        <w:t>E. 4.2.2</w:t>
      </w:r>
    </w:p>
    <w:p>
      <w:r>
        <w:t>Nach Ansicht des Beschwerdeführers ist es offensichtlich, dass der Zahlungsbefehl Nr. yyy an wesentlichen Mängeln leidet und daher nichtig erklärt oder mindestens aufgehoben werden muss. Als beinahe mutwillig erweist sich die Behauptung des Beschwerdeführers, er könne nicht erkennen, welche Forderungsurkunde nun genau den Betrag enthalte, für den er betrieben werde. Immerhin ergibt sich aus dem Zahlungsbefehl klar, für welche Steuern (Kanton Zürich und Stadt Zürich) und welche Steuerperioden (2010, 2011, 2012 und 2013) er aufgrund von rechtskräftigen Veranlagungen und Einschätzungen betrieben wird. Aufgrund dieser Angaben war es dem Beschwerdeführer ohne weiteres möglich, sich über den Anlass der gegen ihn eröffneten Betreibung ein Bild zu machen und seine Rechte zu wahren. Soweit der Beschwerdeführer vorbringt, aus dem Zahlungsbefehl gehe nicht hervor, ob es sich vorliegend um eine Betreibung auf Sicherheitsleistung oder auf Zahlung handle, erweist sich sein Vorbringen als neu und damit unzulässig (E. 1.4).</w:t>
      </w:r>
    </w:p>
    <w:p>
      <w:r>
        <w:rPr>
          <w:b/>
        </w:rPr>
        <w:t>E. 5</w:t>
      </w:r>
    </w:p>
    <w:p>
      <w:r>
        <w:t>Nach dem Gesagten ist der Beschwerde insgesamt kein Erfolg beschieden, soweit darauf überhaupt einzutreten ist.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