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5A_976/2017 vom 23. Januar 2018</w:t>
      </w:r>
    </w:p>
    <w:p>
      <w:r>
        <w:t>Bundesgericht, 2018-01-23, FR</w:t>
      </w:r>
    </w:p>
    <w:p>
      <w:r>
        <w:rPr>
          <w:b/>
        </w:rPr>
        <w:t xml:space="preserve">Quelle: </w:t>
      </w:r>
      <w:r>
        <w:t>https://mcp.opencaselaw.ch/entscheid/bger_5A_976_2017</w:t>
      </w:r>
    </w:p>
    <w:p>
      <w:r>
        <w:t>FR: TF 5A_976/2017 du 23 janvier 2018</w:t>
      </w:r>
    </w:p>
    <w:p>
      <w:r>
        <w:t>IT: TF 5A_976/2017 del 23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a été déposé en temps utile ( art. 100 al. 1 LTF ) à l'encontre d'une décision finale ( art. 90 LTF ) prise en matière de poursuite pour dettes ( art. 72 al. 2 let. a LTF , en relation avec l' art. 278 al. 3 LP ) par un tribunal supérieur statuant sur recours ( art. 75 al. 1 et 2 LTF ). La valeur litigieuse atteint le seuil légal ( art. 74 al. 1 let. b LTF ). Le débiteur séquestré, qui a succombé devant l'autorité précédente et possède un intérêt digne de protection à la modification de la décision attaquée, a qualité pour recourir ( art. 76 al. 1 LTF ).</w:t>
      </w:r>
    </w:p>
    <w:p>
      <w:r>
        <w:rPr>
          <w:b/>
        </w:rPr>
        <w:t>E. 2.1</w:t>
      </w:r>
    </w:p>
    <w:p>
      <w:r>
        <w:t>La décision sur opposition au séquestre rendue par l'autorité judiciaire supérieure ( art. 278 al. 3 LP ) porte - à l'instar de l'ordonnance de séquestre - sur une mesure provisionnelle au sens de l' art. 98 LTF ( ATF 135 III 232 consid. 1.2; arrêt 5A_167/2015 du 29 juin 2015 consid. 2.1 et les références, publié in SJ 2016 I p. 1). Le recourant ne peut dès lors se plaindre que d'une violation de ses droits constitutionnels ( ATF 134 II 349 consid. 3; 133 III 638 consid. 2). Le Tribunal fédéral ne connaît d'un tel moyen que s'il a été invoqué et motivé (principe d'allégation, art. 106 al. 2 LTF ), à savoir expressément soulevé, et exposé de manière claire et détaillée ( ATF 133 II 249 consid. 1.4.2); faute de critique régulière, il ne saurait ainsi censurer la décision attaquée, même en présence d'une violation des droits constitutionnels du justiciable ( ATF 143 II 283 consid. 1.2.2, avec les arrêts cités; 142 II 369 consid. 2.1).</w:t>
      </w:r>
    </w:p>
    <w:p>
      <w:r>
        <w:rPr>
          <w:b/>
        </w:rPr>
        <w:t>E. 2.2</w:t>
      </w:r>
    </w:p>
    <w:p>
      <w:r>
        <w:t>La recourante ignore en l'espèce la nature provisionnelle de la décision querellée. Elle se limite en effet à présenter une motivation essentiellement appellatoire tendant à démontrer une violation des art. 272 al. 1 ch. 3 LP et 152 al. 2 CPC en énumérant plusieurs motifs qui, selon elle, justifieraient de considérer la déduction opérée par les juges cantonaux comme insoutenable. Ce mode de procéder ne suffit pas à satisfaire les exigences accrues de motivation découlant de l' art. 106 al. 2 LTF (cf.</w:t>
      </w:r>
    </w:p>
    <w:p>
      <w:r>
        <w:t>supra consid. 2.1), dès lors que, ce faisant, elle ne fait valoir - ni</w:t>
      </w:r>
    </w:p>
    <w:p>
      <w:r>
        <w:t>a fortiori ne motive conformément au principe d'allégation susrappelé - la violation d'aucun droit constitutionnel. Il s'ensuit que le recours est irrecevable.</w:t>
      </w:r>
    </w:p>
    <w:p>
      <w:r>
        <w:rPr>
          <w:b/>
        </w:rPr>
        <w:t>E. 3</w:t>
      </w:r>
    </w:p>
    <w:p>
      <w:r>
        <w:t>En définitive, le recours doit être déclaré irrecevable, aux frais de son auteur ( art. 66 al. 1 LTF ). Il n'y a pas lieu d'allouer de dépens à l'intimée qui n'a pas été invitée à se déterminer ( art. 68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