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975/2021 vom 29. November 2021</w:t>
      </w:r>
    </w:p>
    <w:p>
      <w:r>
        <w:t>Bundesgericht, 2021-11-29, DE</w:t>
      </w:r>
    </w:p>
    <w:p>
      <w:r>
        <w:rPr>
          <w:b/>
        </w:rPr>
        <w:t xml:space="preserve">Quelle: </w:t>
      </w:r>
      <w:r>
        <w:t>https://mcp.opencaselaw.ch/entscheid/bger_5A_975_2021</w:t>
      </w:r>
    </w:p>
    <w:p>
      <w:r>
        <w:t>FR: TF 5A 975/2021 du 29 novembre 2021</w:t>
      </w:r>
    </w:p>
    <w:p>
      <w:r>
        <w:t>IT: TF 5A 975/2021 del 29 novembre 2021</w:t>
      </w:r>
    </w:p>
    <w:p>
      <w:pPr>
        <w:pStyle w:val="Heading2"/>
      </w:pPr>
      <w:r>
        <w:t>Regeste</w:t>
      </w:r>
    </w:p>
    <w:p>
      <w:r>
        <w:t>Aufschiebende Wirkung (Umplatzierung) | Familienrecht</w:t>
      </w:r>
    </w:p>
    <w:p>
      <w:pPr>
        <w:pStyle w:val="Heading2"/>
      </w:pPr>
      <w:r>
        <w:t>Erwägungen</w:t>
      </w:r>
    </w:p>
    <w:p>
      <w:r>
        <w:rPr>
          <w:b/>
        </w:rPr>
        <w:t>E. 1</w:t>
      </w:r>
    </w:p>
    <w:p>
      <w:r>
        <w:t>Angefochten ist eine kantonal letztinstanzliche Verfügung über die Frage der aufschiebenden Wirkung im Beschwerdeverfahren vor dem Verwaltungsgericht. Dabei handelt es sich um einen nicht verfahrensabschliessendenden Zwischenentscheid (vgl. BGE 134 II 192 E. 1.5 S. 197), der nur unter den besonderen Voraussetzungen von Art. 93 Abs. 1 BGG mit Beschwerde beim Bundesgericht angefochten werden kann, wobei diese in der Beschwerde darzutun sind ( BGE 137 III 324 E. 1.1 S. 329; 141 IV 289 E. 1.3 S. 292). Sodann ist der Entscheid über die aufschiebende Wirkung eine vorsorgliche Massnahme im Sinn von Art. 98 BGG ( BGE 134 II 192 E. 1.5 S. 197; 137 III 475 E. 2 S. 477; aus den unpublizierten Entscheiden statt vieler: Urteil 5A_815/2019 vom 6. März 2020 E. 2.1), weshalb nur verfassungsmässige Rechte als verletzt gerügt werden können, wofür das strikte Rügeprinzip gemäss Art. 106 Abs. 2 BGG gilt und bloss appellatorische Ausführungen ungenügend sind (zu den diesbezüglichen Begründungsvoraussetzungen namentlich BGE 134 II 244 E. 2.2 S. 246; 142 II 369 E. 2.1 S. 372; 142 III 364 E. 2.4 S. 368).</w:t>
      </w:r>
    </w:p>
    <w:p>
      <w:r>
        <w:rPr>
          <w:b/>
        </w:rPr>
        <w:t>E. 2</w:t>
      </w:r>
    </w:p>
    <w:p>
      <w:r>
        <w:t>Weder werden explizit verfassungsmässige Rechte angerufen, welche mit der angefochtenen Verfügung verletzt sein könnten, noch werden dem Sinn nach Verfassungsverletzungen geltend gemacht, weshalb auf die Beschwerde nicht eingetreten werden kann. Nur der Vollständigkeit halber sei festgehalten, dass mit den (rein appellatorischen) Ausführungen ohnehin nicht dargetan würde, inwiefern die aufschiebende Wirkung unabdingbar wäre. Die KESB wie auch das Verwaltungsgericht haben A.________ persönlich angehört und konnten sich ein eigenes Bild von ihm machen; beide Sachinstanzen erachten die Platzierung im Internat C.________ in U.________ als dringlich und nennen dabei sachliche Gründe.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Angesichts der konkreten Umstände rechtfertigt es sich allerdings,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