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5A_975/2018 vom 12. Dezember 2018</w:t>
      </w:r>
    </w:p>
    <w:p>
      <w:r>
        <w:t>Bundesgericht, 2018-12-12, FR</w:t>
      </w:r>
    </w:p>
    <w:p>
      <w:r>
        <w:rPr>
          <w:b/>
        </w:rPr>
        <w:t xml:space="preserve">Quelle: </w:t>
      </w:r>
      <w:r>
        <w:t>https://mcp.opencaselaw.ch/entscheid/bger_5A_975_2018</w:t>
      </w:r>
    </w:p>
    <w:p>
      <w:r>
        <w:t>FR: TF 5A_975/2018 du 12 décembre 2018</w:t>
      </w:r>
    </w:p>
    <w:p>
      <w:r>
        <w:t>IT: TF 5A_975/2018 del 12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la procédure de réalisation forcée d'immeubles diligentée contre A.________ (</w:t>
      </w:r>
    </w:p>
    <w:p>
      <w:r>
        <w:t>poursuivi ), le Président du Tribunal d'arrondissement de l'Est vaudois a, par prononcé du 13 juillet 2018, rejeté la plainte du poursuivi tendant en bref à "</w:t>
      </w:r>
    </w:p>
    <w:p>
      <w:r>
        <w:t>arrêter la vente ", à "</w:t>
      </w:r>
    </w:p>
    <w:p>
      <w:r>
        <w:t>refaire l'estimation de [sa]</w:t>
      </w:r>
    </w:p>
    <w:p>
      <w:r>
        <w:t>propriété " et à annuler "</w:t>
      </w:r>
    </w:p>
    <w:p>
      <w:r>
        <w:t>le bail oral et le droit de préemption " que l'Office des poursuites aurait accordés à un fermier. En substance, il a retenu que les questions relatives à l'estimation des immeubles ainsi qu'à la validité du bail et du droit du préemption avaient été tranchées définitivement à l'occasion des précédentes plaintes, qu'il n'était pas établi que le fermier aurait tenté d'influencer d'autres enchérisseurs potentiels - ce qui ne constituait pas, de toute manière, un motif de renvoi de la vente - et que les autres griefs étaient trop imprécis ou ne relevaient pas des mesures prises par l'Office.</w:t>
      </w:r>
    </w:p>
    <w:p>
      <w:r>
        <w:t>La vente des immeubles en cause a eu lieu le 23 mai 2018; le transfert de propriété a été opéré le 11 juillet 2018.</w:t>
      </w:r>
    </w:p>
    <w:p>
      <w:r>
        <w:rPr>
          <w:b/>
        </w:rPr>
        <w:t>E. 2</w:t>
      </w:r>
    </w:p>
    <w:p>
      <w:r>
        <w:t>Par arrêt du 2 novembre 2018, la Cour des poursuites et faillites du Tribunal cantonal vaudois a rejeté le recours déposé par le poursuivi à l'encontre de cette décision et mis à sa charge les frais de deuxième instance (300 fr.).</w:t>
      </w:r>
    </w:p>
    <w:p>
      <w:r>
        <w:rPr>
          <w:b/>
        </w:rPr>
        <w:t>E. 3</w:t>
      </w:r>
    </w:p>
    <w:p>
      <w:r>
        <w:t>Par écriture mise à la poste le 23 novembre 2018, le poursuivi exerce un recours au Tribunal fédéral contre l'arrêt cantonal.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La présente écriture doit être traitée en tant que recours en matière civile ( art. 72 al. 2 let. a LTF ; ATF 133 III 350 consid. 1.2). Il n'y a pas lieu d'examiner les autres conditions de recevabilité - en particulier les chefs de conclusions en paiement de dommages-intérêts -, le procédé étant manifestement voué à l'échec.</w:t>
      </w:r>
    </w:p>
    <w:p>
      <w:r>
        <w:rPr>
          <w:b/>
        </w:rPr>
        <w:t>E. 5</w:t>
      </w:r>
    </w:p>
    <w:p>
      <w:r>
        <w:t>En l'espèce, la juridiction précédente a préalablement écarté plusieurs conclusions nouvelles (annulation de la vente, paiement de dommages et intérêts, démarches auprès de la "</w:t>
      </w:r>
    </w:p>
    <w:p>
      <w:r>
        <w:t>SDT " afin que les parcelles soient réinscrites au registre foncier, récusation de l'Office); elle a relevé, en particulier, que la plainte tendait à empêcher que la réalisation ait lieu, alors que la vente elle-même n'avait pas été attaquée.</w:t>
      </w:r>
    </w:p>
    <w:p>
      <w:r>
        <w:t>Sur le fond, les juges cantonaux ont retenu que les critiques dirigées à l'encontre des actes de l'Office ont fait l'objet de précédentes plaintes, définitivement tranchées, de sorte qu'elles sont irrecevables. En outre, il n'y a plus d'intérêt à examiner le comportement du fermier, puisque la vente elle-même n'a pas été remise en cause. De toute manière, le recourant n'a invoqué aucune des situations d'arrangements propres à altérer le résultat des enchères; il n'a même pas allégué que les autres enchérisseurs potentiels auraient offert plus que le prix de vente effectif s'ils n'avaient pas été prétendument dissuadés de le faire.</w:t>
      </w:r>
    </w:p>
    <w:p>
      <w:r>
        <w:t>Enfin, la cour cantonale a considéré que, en persistant dans sa vaine argumentation au sujet de questions déjà résolues ou en dénonçant, à ce stade, de prétendues irrégularités dans la phase préparatoire de la vente, alors que celle-ci n'a pas été remise en cause après qu'elle a eu lieu, le recourant a agi de façon contraire à la bonne foi. Pour ce motif, il se justifie de mettre à sa charge un émolument de 300 fr., en vertu de l' art. 20a al. 2 ch. 5 LP .</w:t>
      </w:r>
    </w:p>
    <w:p>
      <w:r>
        <w:rPr>
          <w:b/>
        </w:rPr>
        <w:t>E. 6</w:t>
      </w:r>
    </w:p>
    <w:p>
      <w:r>
        <w:t>Le recourant ne discute aucunement ces motifs - qu'ils concernent la recevabilité de ses conclusions ou la régularité de la réalisation forcée de ses parcelles - d'une manière conforme aux exigences de l' art. 42 al. 2 LTF ( ATF 140 III 86 consid. 2 et 115 consid. 2), mais se borne à énoncer des formules péremptoires quant à la prétendue violation de son droit de propriété, assorties de réclamations en dommages-intérêts dont la quotité ne trouve aucun fondement dans les faits constatés par l'autorité précédente ( art. 105 al. 1 LTF ). De même, il ne conteste pas valablement sa condamnation - que ce soit dans son principe ou son montant - aux frais de la procédure cantonale de recours; il se limite à conclure ici que son recours n'est pas "</w:t>
      </w:r>
    </w:p>
    <w:p>
      <w:r>
        <w:t>téméraire " (</w:t>
      </w:r>
    </w:p>
    <w:p>
      <w:r>
        <w:t>p. 4 let. d ).</w:t>
      </w:r>
    </w:p>
    <w:p>
      <w:r>
        <w:t>Le recours poursuit en outre un but manifestement dilatoire, comme le démontrent les nombreuses décisions rendues dans le contexte de la présente procédure d'exécution forcée; à cet égard, il n'est pas inutile de rappeler que la vente des parcelles a été requise le</w:t>
      </w:r>
    </w:p>
    <w:p>
      <w:r>
        <w:t>16 août 2001 et n'a pu être réalisée que le</w:t>
      </w:r>
    </w:p>
    <w:p>
      <w:r>
        <w:t>23 mai 2018 . Il s'avère dès lors également irrecevable sous cet angle ( art. 42 al. 7 LTF ).</w:t>
      </w:r>
    </w:p>
    <w:p>
      <w:r>
        <w:rPr>
          <w:b/>
        </w:rPr>
        <w:t>E. 7</w:t>
      </w:r>
    </w:p>
    <w:p>
      <w:r>
        <w:t>En conclusion, le présent recours doit être déclaré irrecevable par voie de procédure simplifiée ( art. 108 al. 1 let . bet c LTF), aux frais de son auteur ( art. 66 al. 1 LTF ). Cela étant, la requête d'effet suspensif - par ailleurs dépourvue de motivation - est sans objet.</w:t>
      </w:r>
    </w:p>
    <w:p>
      <w:r>
        <w:t>Le recourant est expressément avisé que toute nouvelle écriture dans la présente cause, tendant à remettre une nouvelle fois en discussion des points définitivement tranchés, ainsi que les requêtes abusives de révision ou de récusation, seront classées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