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5A_96/2015 vom 26. Februar 2015</w:t>
      </w:r>
    </w:p>
    <w:p>
      <w:r>
        <w:t>Bundesgericht, 2015-02-26, FR</w:t>
      </w:r>
    </w:p>
    <w:p>
      <w:r>
        <w:rPr>
          <w:b/>
        </w:rPr>
        <w:t xml:space="preserve">Quelle: </w:t>
      </w:r>
      <w:r>
        <w:t>https://mcp.opencaselaw.ch/entscheid/bger_5A_96_2015</w:t>
      </w:r>
    </w:p>
    <w:p>
      <w:r>
        <w:t>FR: TF 5A_96/2015 du 26 février 2015</w:t>
      </w:r>
    </w:p>
    <w:p>
      <w:r>
        <w:t>IT: TF 5A_96/2015 del 26 febbraio 2015</w:t>
      </w:r>
    </w:p>
    <w:p>
      <w:pPr>
        <w:pStyle w:val="Heading2"/>
      </w:pPr>
      <w:r>
        <w:t>Erwägungen</w:t>
      </w:r>
    </w:p>
    <w:p>
      <w:r>
        <w:rPr>
          <w:b/>
        </w:rPr>
        <w:t>E. 1</w:t>
      </w:r>
    </w:p>
    <w:p>
      <w:r>
        <w:t>Le recours a été déposé dans le délai légal (art. 100 al. 1 et 46 al. 1 let. c LTF) contre une décision rendue en matière de protection de l'adulte (art. 72 al. 2 let. b ch. 6 LTF) par une autorité cantonale de dernière instance ayant statué sur recours ( art. 75 al. 1 LTF ); la personne concernée a qualité pour recourir ( art. 76 al. 1 LTF ).</w:t>
      </w:r>
    </w:p>
    <w:p>
      <w:r>
        <w:rPr>
          <w:b/>
        </w:rPr>
        <w:t>E. 2</w:t>
      </w:r>
    </w:p>
    <w:p>
      <w:r>
        <w:t>Le recours peut être formé pour violation du droit fédéral ( art. 95 let. a LTF ). Le Tribunal fédéral applique ce droit d'office ( art. 106 al. 1 LTF ), sous réserve des droits constitutionnels ( art. 106 al. 2 LTF ). Il apprécie librement la portée juridique des faits sans être lié par l'argumentation des parties, ni par la motivation retenue dans l'arrêt attaqué. Eu égard toutefois à l'exigence de motivation que pose l' art. 42 al. 2 LTF sous peine d'irrecevabilité ( art. 108 al. 1 let. b LTF ), le Tribunal fédéral n'examine d'ordinaire que les griefs invoqués, sauf en cas d'erreurs juridiques manifestes ( ATF 140 III 115 consid. 2; 134 III 102 consid. 1.1; 133 II 249 consid. 1.4.1).</w:t>
      </w:r>
    </w:p>
    <w:p>
      <w:r>
        <w:rPr>
          <w:b/>
        </w:rPr>
        <w:t>E. 3</w:t>
      </w:r>
    </w:p>
    <w:p>
      <w:r>
        <w:t>La cour cantonale a avant tout situé le contexte de la mesure litigieuse: la détention du recourant dans l'unité psychiatrique de la prison de Champ-Dollon, sur la base d'une mesure du droit pénal au sens de l' art. 59 CP . Le placement contesté a été ordonné dans le cadre de cette prise en charge et était justifié par l'opposition de l'intéressé à tout traitement ainsi que par son comportement hétéro-agressif et menaçant à l'égard du personnel soignant. La juridiction cantonale a ensuite relevé que le recourant était bien connu pour des idées délirantes et paranoïaques, mais qu'il avait toujours refusé de se soumettre à une quelconque expertise et d'être examiné par un médecin psychiatre, niant totalement l'existence de sa maladie et son besoin de traitement. Les conditions cumulatives au prononcé du placement étaient ainsi données ( art. 426 al. 1 CC ). De même, les conditions visant le traitement sans consentement étaient réalisées ( art. 434 al. 1 CC ) du fait que le recourant niait sa pathologie et les conséquences qu'elle emportait, à savoir principalement la mise en danger de sa propre vie, les menaces relatives au risque hétéro-agressif pouvant en l'état être partiellement contenues par l'incarcération pénale. Les magistrats cantonaux ont enfin souligné que la mesure de placement était parfaitement proportionnée dès lors qu'elle limitait la durée des placements au temps nécessaire à l'administration du traitement au recourant, à savoir quelques heures tous les quinze jours et prescrivait son suivi de manière adéquate et conformément à la disposition légale topique ( art. 431 CC ).</w:t>
      </w:r>
    </w:p>
    <w:p>
      <w:r>
        <w:rPr>
          <w:b/>
        </w:rPr>
        <w:t>E. 4.1</w:t>
      </w:r>
    </w:p>
    <w:p>
      <w:r>
        <w:t>En l'espèce, le recourant se trouve incarcéré sur la base d'une mesure thérapeutique institutionnelle de droit pénal ( art. 59 CP ). Or le traitement institutionnel des troubles mentaux, prévu par cette dernière disposition, ne se limite pas au seul internement mais comprend également le traitement médical ou les soins spéciaux, voire aussi la médication forcée, si celle-ci se révèle nécessaire et qu'elle respecte la déontologie médicale ( ATF 130 IV 49 consid. 3.3; 127 IV 154 consid. 3d).</w:t>
      </w:r>
    </w:p>
    <w:p>
      <w:r>
        <w:t>Si, au moment où la mesure est ordonnée, la médication forcée paraît déjà indispensable pour traiter le délinquant, le juge pénal le mentionne expressément dans les considérants du jugement. La nécessité d'avoir recours à une médication forcée peut toutefois n'apparaître que pendant l'exécution de la mesure. Dans cette éventualité, ce sont alors les autorités d'exécution qui sont compétentes pour ordonner une médication forcée, pour autant toutefois que celle-ci corresponde au but de la mesure et qu'elle s'inscrive dans le cadre du traitement déterminé par le jugement pénal ( ATF 130 IV 49 consid. 3.3).</w:t>
      </w:r>
    </w:p>
    <w:p>
      <w:r>
        <w:t>L' art. 59 CP constitue ainsi une base légale suffisante pour ordonner le traitement de force du délinquant, les mesures qu'elle prévoit ou permet ne pouvant ainsi être remplacées par une intervention de l'autorité civile fondée sur les art. 426 ss CC ( HEER, in Basler Kommentar, Strafrecht I, 3e éd. 2013, n. 84 ad art. 59 CP ).</w:t>
      </w:r>
    </w:p>
    <w:p>
      <w:r>
        <w:rPr>
          <w:b/>
        </w:rPr>
        <w:t>E. 4.2</w:t>
      </w:r>
    </w:p>
    <w:p>
      <w:r>
        <w:t>L'on ignore cependant ici la teneur du jugement pénal ayant ordonné la mesure institutionnelle à laquelle est soumise le recourant et, ainsi, si la médication forcée s'insère dans le cadre du traitement décrit par cette décision. Dans ces conditions, il convient en conséquence d'annuler la décision entreprise et de renvoyer la cause à l'autorité cantonale pour complément des faits et nouvelle décision au sens des considérants.</w:t>
      </w:r>
    </w:p>
    <w:p>
      <w:r>
        <w:t>Le sort du recours est ainsi scellé, de sorte qu'il n'y pas lieu d'examiner plus avant les griefs formulés par le recourant.</w:t>
      </w:r>
    </w:p>
    <w:p>
      <w:r>
        <w:rPr>
          <w:b/>
        </w:rPr>
        <w:t>E. 5</w:t>
      </w:r>
    </w:p>
    <w:p>
      <w:r>
        <w:t>Le recours est admis, la décision cantonale annulée et la cause renvoyée à la cour cantonale pour nouvelle décision au sens des considérants. La requête d'effet suspensif présentée par l'intéressé devient ainsi sans objet. Il est statué sans frais ( art. 66 al. 4 LTF ) ni dépens, le recourant n'étant pas représenté par un avocat.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