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5A_969/2025 vom 11. November 2025</w:t>
      </w:r>
    </w:p>
    <w:p>
      <w:r>
        <w:t>Bundesgericht, 2025-11-11, DE</w:t>
      </w:r>
    </w:p>
    <w:p>
      <w:r>
        <w:rPr>
          <w:b/>
        </w:rPr>
        <w:t xml:space="preserve">Quelle: </w:t>
      </w:r>
      <w:r>
        <w:t>https://mcp.opencaselaw.ch/entscheid/bger_5A_969_2025</w:t>
      </w:r>
    </w:p>
    <w:p>
      <w:r>
        <w:t>FR: TF 5A_969/2025 du 11 novembre 2025</w:t>
      </w:r>
    </w:p>
    <w:p>
      <w:r>
        <w:t>IT: TF 5A_969/2025 del 11 novembre 2025</w:t>
      </w:r>
    </w:p>
    <w:p>
      <w:pPr>
        <w:pStyle w:val="Heading2"/>
      </w:pPr>
      <w:r>
        <w:t>Erwägungen</w:t>
      </w:r>
    </w:p>
    <w:p>
      <w:r>
        <w:rPr>
          <w:b/>
        </w:rPr>
        <w:t>E. 1</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hält fest, dass er um Hilfe bitte, nichts verstehe und kein Geld für einen Rechtsanwalt habe; er wolle einfach die Scheidung und er wisse, dass es falsch gewesen sei, seine Ehefrau in die Schweiz gebracht zu haben.</w:t>
      </w:r>
    </w:p>
    <w:p>
      <w:r>
        <w:rPr>
          <w:b/>
        </w:rPr>
        <w:t>E. 3</w:t>
      </w:r>
    </w:p>
    <w:p>
      <w:r>
        <w:t>Damit nimmt der Beschwerdeführer keinen Bezug auf die Nichteintretenserwägungen des angefochtenen Entscheides. Ebenso wenig äussert er sich konkret zu den erläuternden weiteren Erwägungen des Obergerichtes, wonach in einer Scheidungsklage der Name und die Adresse des beklagten Ehegatten anzugeben sind ( Art. 290 lit. a ZPO ) und das Gericht den Nachweis auferlegen kann, dass der Kläger sich sorgfältig, aber erfolglos um die Feststellung der Adresse des anderen Ehegatten bemüht hat und weitere Nachforschungen aussichtslos wären. Es ist nicht ersichtlich, inwiefern das Obergericht Recht verletzt haben könnte.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