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969/2020 vom 21. Oktober 2021</w:t>
      </w:r>
    </w:p>
    <w:p>
      <w:r>
        <w:t>Bundesgericht, 2021-10-21, DE</w:t>
      </w:r>
    </w:p>
    <w:p>
      <w:r>
        <w:rPr>
          <w:b/>
        </w:rPr>
        <w:t xml:space="preserve">Quelle: </w:t>
      </w:r>
      <w:r>
        <w:t>https://mcp.opencaselaw.ch/entscheid/bger_5A_969_2020</w:t>
      </w:r>
    </w:p>
    <w:p>
      <w:r>
        <w:t>FR: TF 5A 969/2020 du 21 octobre 2021</w:t>
      </w:r>
    </w:p>
    <w:p>
      <w:r>
        <w:t>IT: TF 5A 969/2020 del 21 ottobre 2021</w:t>
      </w:r>
    </w:p>
    <w:p>
      <w:pPr>
        <w:pStyle w:val="Heading2"/>
      </w:pPr>
      <w:r>
        <w:t>Regeste</w:t>
      </w:r>
    </w:p>
    <w:p>
      <w:r>
        <w:t>Definitive Rechtsöffnung | Schuldbetreibungs- und Konkursrecht</w:t>
      </w:r>
    </w:p>
    <w:p>
      <w:pPr>
        <w:pStyle w:val="Heading2"/>
      </w:pPr>
      <w:r>
        <w:t>Erwägungen</w:t>
      </w:r>
    </w:p>
    <w:p>
      <w:r>
        <w:rPr>
          <w:b/>
        </w:rPr>
        <w:t>E. 1.1</w:t>
      </w:r>
    </w:p>
    <w:p>
      <w:r>
        <w:t>Angefochten ist der Entscheid einer letzten kantonalen Instanz, die als Rechtsmittelbehörde über eine Rechtsöffnung in der Höhe von über Fr. 30'000.-- entschieden hat. Dagegen ist die Beschwerde in Zivilsachen gegeben ( Art. 72 Abs. 2 lit. a, Art. 74 Abs. 1 lit. b und Art. 75 BGG ).</w:t>
      </w:r>
    </w:p>
    <w:p>
      <w:r>
        <w:rPr>
          <w:b/>
        </w:rPr>
        <w:t>E. 1.2</w:t>
      </w:r>
    </w:p>
    <w:p>
      <w:r>
        <w:t>Die Beschwerdeführer haben am vorinstanzlichen Verfahren teilgenommen. Sie sind als Betreibungsgläubiger vom angefochtenen Entscheid besonders berührt und haben ein schutzwürdiges Interesse an dessen Aufhebung oder Änderung. Sie sind daher zur Beschwerde berechtigt ( Art. 76 Abs. 1 lit. a und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Die Vorinstanz hat festgestellt, dass die Veranlagungsverfügungen vom 25. November bzw. 2. Dezember 2019 hinsichtlich der Steuergutschriften folgende Bemerkungen enthielten: "Die Auszahlung allfälliger Guthaben erfolgt erst nach Klärung des Anspruchs". Diese Bemerkung basiert auf einer Verfügung des Regionalen Betreibungsamtes Zofingen vom 6. Dezember 2018, mit der es der kantonalen Steuerverwaltung Zug die Pfändung sämtlicher Guthaben des Beschwerdeführers 2 aus den Kantons- und Gemeindesteuern, insbesondere aus der Steuerperiode 2007, bis ca. Fr. 75'000.-- anzeigte. Eine von der Steuerverwaltung des Kantons Zug dagegen beim Bezirksgericht Zofingen erhobene Beschwerde wurde mit Entscheid vom 11. Februar 2019 mangels unklaren Pfändungsgegenstands abgewiesen. Das Regionale Betreibungsamt Zofingen zeigte der Steuerverwaltung des Kantons Zug mit Verfügung vom 24. Juni 2019 an, dass am 13. Februar 2019 erneut die Pfändung beim Beschwerdeführer 2 vollzogen wurde und sich die Forderungspfändung von Fr. 168'922.45 auf neu Fr. 244'000.-- erhöhe. Die Vorinstanz hat gestützt darauf im Wesentlichen erwogen, dass die Auszahlung der Steuerguthaben an die Suspensivbedingung geknüpft sei, dass die Fragen rund um die Pfändung des Anspruchs seitens des Betreibungsamtes Zofingen geklärt werden. Die Beschwerdeführer könnten den Eintritt dieser Bedingung nicht liquide durch Urkunden nachweisen, weshalb mangels Vollstreckbarkeit des Titels keine definitive Rechtsöffnung erteilt werden könne und die Beschwerdeführer auf ein materielles Urteil hinsichtlich Eintritt der Bedingung zu verweisen seien. Nicht im Rechtsöffnungsverfahren zu beurteilen seien folglich allfällige Fragen im Zusammenhang mit dem Umfang der Pfändungsanzeige des Regionalen Betreibungsamtes Zofingen sowie Fragen hinsichtlich der Zulässigkeit von bedingten Veranlagungsverfügungen.</w:t>
      </w:r>
    </w:p>
    <w:p>
      <w:r>
        <w:rPr>
          <w:b/>
        </w:rPr>
        <w:t>E. 3</w:t>
      </w:r>
    </w:p>
    <w:p>
      <w:r>
        <w:t>Anlass zur Beschwerde geben die Anforderungen an einen definitiven Rechtsöffnungstitel in Form einer Verfügung einer Steuerbehörde.</w:t>
      </w:r>
    </w:p>
    <w:p>
      <w:r>
        <w:rPr>
          <w:b/>
        </w:rPr>
        <w:t>E. 3.1</w:t>
      </w:r>
    </w:p>
    <w:p>
      <w:r>
        <w:t>Die auf Geldzahlung gerichteten Verfügungen schweizerischer Verwaltungsbehörden sind gerichtlichen Entscheiden gleichgestellt und berechtigen den Gläubiger, beim Gericht die Aufhebung des Rechtsvorschlags (definitive Rechtsöffnung) zu verlangen ( Art. 80 Abs. 2 Ziff. 2 SchKG ). Die rechtskräftige Veranlagungsverfügung der Steuerbehörde für die direkte Bundessteuer und für die nach kantonalem (und kommunalen) Recht erhobenen Steuern stellt ohne weiteres einen definitiven Rechtsöffnungstitel dar (vgl. auch Art. 165 Abs. 3 des Bundesgesetzes über die direkte Bundessteuer; DBG, SR 642.11; Urteil 5D_117/2017 vom 23. Januar 2018 E. 2.1). Richtig ist vorab die Erwägung der Vorinstanz, dass die Steuerverwaltung nicht nur dann hoheitlich auftritt, wenn sie Steuern für eine bestimmte Steuerperiode festlegt, sondern auch dann, wenn sie über Gutschriften für eine bestimmte Steuerperiode verfügt. Folglich kann in solchen Fällen die definitive Rechtsöffnung nicht mit der Begründung abgewiesen werden, es fehle im Verhältnis zu den Beschwerdeführern an einem hoheitlichen Handeln. Die Veranlagungsverfügungen hinsichtlich Rückerstattung der Steuerguthaben eignen sich somit hinsichtlich Qualität grundsätzlich als definitive Rechtsöffnungstitel im Sinne von Art. 80 Abs. 2 Ziff. 2 SchKG .</w:t>
      </w:r>
    </w:p>
    <w:p>
      <w:r>
        <w:rPr>
          <w:b/>
        </w:rPr>
        <w:t>E. 3.2</w:t>
      </w:r>
    </w:p>
    <w:p>
      <w:r>
        <w:t>Strittig ist die Vollstreckbarkeit dieser definitiven Rechtsöffnungstitel.</w:t>
      </w:r>
    </w:p>
    <w:p>
      <w:r>
        <w:rPr>
          <w:b/>
        </w:rPr>
        <w:t>E. 3.2.1</w:t>
      </w:r>
    </w:p>
    <w:p>
      <w:r>
        <w:t>Das Rechtsöffnungsverfahren ist ein Urkundenprozess: Die Prüfungszuständigkeit des Rechtsöffnungsrichters umfasst ausschliesslich Fragen im Zusammenhang mit der Tauglichkeit der präsentierten Urkunden ( BGE 142 III 720 E. 4.1; 133 III 645 E. 5.3). Ziel des Verfahrens ist nicht die Feststellung des materiellen Bestandes der in Betreibung gesetzten Forderung, sondern lediglich die Anerkennung des Vorliegens einer vollstreckbaren Urkunde dafür ( BGE 138 III 583 E. 6.1.1; 132 III 140 E 4.1.1 ; 58 I 363 E. 2). Der Rechtsöffnungsrichter hat sich nicht mit der materiellen Richtigkeit des Urteils zu befassen. Ist dieses unklar oder unvollständig, bleibt es Aufgabe des Sachgerichts, Klarheit zu schaffen ( BGE 138 III 583 E. 6.1.1; 135 III 315 E. 2.3; Urteil 5A_647/2016 vom 19. Dezember 2016 E. 2.2). Vorbehalten bleiben Mängel, die zur Nichtigkeit des Vollstreckungstitels führen und die der Rechtsöffnungsrichter von Amtes wegen beachten muss ( BGE 130 III 125 E. 2; Urteil 5D_106/2014 vom 24. September 2014 E. 5 mit Hinweis). Die eingeschränkte Prüfungsbefugnis des Rechtsöffnungsgerichts bedeutet jedoch nicht, dass dieses nur das Dispositiv des vorgelegten Urteils berücksichtigen darf. Es genügt, dass die Verpflichtung des Schuldners zur Bezahlung der in Betreibung gesetzten Geldsumme klar aus den Erwägungen oder, sofern das Urteilsdispositiv auf sie verweist, aus anderen Dokumenten hervorgeht. Nur wenn der Sinn des Dispositivs unklar ist und diese Unklarheit auch unter Einbezug der Urteilsbegründung oder anderer Dokumente nicht beseitigt werden kann, ist die Rechtsöffnung zu verweigern ( BGE 143 III 564 E. 4.3.2; 138 III 583 E. 6.1.1; Urteil 5A_218/2019 vom 11. März 2020 E. 2.1). Enthält der gerichtliche Entscheid eine Suspensivbedingung, obliegt es dem Gläubiger durch Urkunden liquide nachzuweisen, dass die Bedingung eingetreten ist, sofern dies nicht vom Schuldner anerkannt oder anderweitig notorisch ist ( BGE 143 III 564 E. 4.2.2; Urteile 5A_1015/2020 vom 30. August 2021 E. 3.2.2; 5A_940/2020 vom 27. Januar 2021 E. 3.2.1). Ob diese Voraussetzungen der Vollstreckbarkeit erfüllt sind, hat der Rechtsöffnungsrichter von Amtes wegen zu untersuchen ( BGE 141 I 97 E. 7; 105 III 43 E. 2a). Aufgrund der Gleichstellung mit gerichtlichen Entscheiden gelten diese Grundsätze auch für Verfügungen schweizerischer Verwaltungsbehörden gemäss Art. 80 Abs. 2 Ziff. 2 SchKG .</w:t>
      </w:r>
    </w:p>
    <w:p>
      <w:r>
        <w:rPr>
          <w:b/>
        </w:rPr>
        <w:t>E. 3.2.2</w:t>
      </w:r>
    </w:p>
    <w:p>
      <w:r>
        <w:t>Die Beschwerdeführer bestreiten die Zulässigkeit von Suspensivbedingungen bei definitiven Steuerveranlagungen. Die Steuerverwaltung des Kantons Zug habe die Rückzahlung an eine Suspensivbedingung geknüpft, obwohl das Steuergesetz des Kantons Zug keine gesetzliche Grundlage für solche Bedingungen enthalte. Die Vorinstanz verkenne, dass das Veranlagungsverfahren gestützt auf das kantonale Steuergesetz von Zug mit der Veranlagungsverfügung ende. Im darauffolgenden Bezugsverfahren würden die Steuern eingefordert und zu viel bezahlte provisorische Steuern zurückerstattet. Dieses Bezugsverfahren erfolge auf dem Betreibungswege nach SchKG und beruhe im Gegensatz zum Veranlagungsverfahren nicht auf kantonalem Recht. Eine Rückzahlung könne folglich nur verweigert werden, wenn sich die Suspensivbedingung auf eine gesetzliche Grundlage im eidgenössischen SchKG stützen könne. Art. 81 Abs. 1 SchKG sehe jedoch keine Suspensivbedingungen vor, sondern beschränke die zulässigen Einwendungen auf Tilgung, Stundung und Verjährung. Mit diesen Vorbringen verkennen die Beschwerdeführer die eingeschränkte Prüfungsbefugnis des Rechtsöffnungsgerichts; im Rechtsöffnungsverfahren ist nicht zu beurteilen, ob sich die Suspensivbedingung der Steuerverwaltung des Kantons Zug auf eine gesetzliche Grundlage stützen lässt. Wie die Vorinstanz zu Recht feststellte, liefe dies auf eine materielle Überprüfung der rechtskräftigen Veranlagungsverfügungen hinaus. Eine (Teil-) Nichtigkeit dieser Verfügungen ist sodann nicht zu erkennen. Darüber hinaus ist unerheblich, dass Art. 81 Abs. 1 SchKG den ausstehenden Eintritt einer Suspensivbedingung nicht als explizites Verteidigungsmittel vorsieht (vgl. BGE 140 III 180 E. 5.2.1; STAEHELIN, in: Basler Kommentar, Bundesgesetz über Schuldbetreibung und Konkurs, 2. Aufl. 2010, N. 2 zu Art. 81; ABBET, in: La mainlevée de l'opposition, 2017, N. 2. zu Art. 81); der Nachweis des Bedingungseintritts ist bereits Voraussetzung der Vollstreckbarkeit des Titels.</w:t>
      </w:r>
    </w:p>
    <w:p>
      <w:r>
        <w:rPr>
          <w:b/>
        </w:rPr>
        <w:t>E. 3.2.3</w:t>
      </w:r>
    </w:p>
    <w:p>
      <w:r>
        <w:t>Die Beschwerdeführer stellen sich auf den Standpunkt, die Fragen rund um die Pfändung des Rückforderungsanspruchs seien geklärt. Das Bezirksgericht Zofingen habe im Entscheid vom 11. Februar 2019 festgehalten, die Pfändung umfasse nur die Guthaben, welche im Zeitpunkt der Anzeige bereits bestanden hätten. Sie schliessen daraus, die mit den Veranlagungsverfügungen vom 25. November bzw. vom 2. Dezember 2019 festgesetzten Guthaben hätten im Zeitpunkt der Pfändungsanzeigen am 6. Dezember 2018 bzw. am 24. Juni 2019 nicht bestanden und könnten somit auch nicht von der Pfändung erfasst sein. Es sei folglich durch Urkunden bewiesen, dass die Forderungen auf Rückerstattung der Guthaben für die Steuerperioden 2008-2013 nicht Gegenstand der Pfändung sein konnten. Die Beschwerdeführer legen ihren Vorbringen die Annahme zugrunde, ihre Ansprüche auf Rückerstattung der Steuerguthaben aus den Steuerperioden 2008-2013 seien erst mit den Veranlagungsverfügungen vom 25. November bzw. vom 2. Dezember 2019 entstanden. Dabei verkennen sie, dass der Zeitpunkt der Entstehung dieser Forderungen vom Bezirksgericht Zofingen im Beschwerdeverfahren gegen die Pfändungsanzeige nicht beurteilt wurde. Es hatte abgesehen von den Guthaben aus der Steuerperiode 2007 gerade nicht beurteilt bzw. mangels Unterlagen gar nicht beurteilen können, ob auch weitere Guthaben aus darauffolgenden Steuerperioden von der Pfändungsanzeige vom 6. Dezember 2018 erfasst sind. Im Rahmen der Prüfungskompetenz hinsichtlich Eintritt einer Suspensivbedingung ist es nicht Aufgabe des Rechtsöffnungsgerichts zu beurteilen, ob der Anspruch auf Rückerstattung von Steuerguthaben im Zeitpunkt der (Vor-) Leistung der Steuern oder erst im Zeitpunkt der Veranlagung entsteht. Die Vorinstanz ist somit zu Recht zum Schluss gelangt, die Beschwerdeführer hätten den Eintritt der Suspensivbedingung nicht mit Urkunden nachgewiesen.</w:t>
      </w:r>
    </w:p>
    <w:p>
      <w:r>
        <w:rPr>
          <w:b/>
        </w:rPr>
        <w:t>E. 3.2.4</w:t>
      </w:r>
    </w:p>
    <w:p>
      <w:r>
        <w:t>Soweit die Beschwerdeführer der Vorinstanz überspitzten Formalismus vorwerfen, indem sie auf einer gerichtlichen Klärung des Bedingungseintritts beharrt, zielt diese Rüge ebenfalls in Leere. Die Vorinstanz hat den Umfang der Prüfungskompetenz des Rechtsöffnungsgerichts korrekt abgesteckt; darin ist kein überspitzter Formalismus zu erkennen. Es ist am Sachgericht, einerseits die materielle Richtigkeit der Verfügung bzw. der Suspensivbedingung im definitiven Rechtsöffnungstitel zu überprüfen sowie andererseits über den Entstehungszeitpunkt der Rückerstattungsforderung im Zusammenhang mit der Pfändung zu entscheiden.</w:t>
      </w:r>
    </w:p>
    <w:p>
      <w:r>
        <w:rPr>
          <w:b/>
        </w:rPr>
        <w:t>E. 3.3</w:t>
      </w:r>
    </w:p>
    <w:p>
      <w:r>
        <w:t>Der Vorinstanz kann nach dem Gesagten keine Rechtsverletzung vorgeworfen werden, wenn sie dem Rechtsöffnungstitel die Vollstreckbarkeit abgesprochen hat.</w:t>
      </w:r>
    </w:p>
    <w:p>
      <w:r>
        <w:rPr>
          <w:b/>
        </w:rPr>
        <w:t>E. 4</w:t>
      </w:r>
    </w:p>
    <w:p>
      <w:r>
        <w:t>Aus den dargelegten Gründen ist die Beschwerde abzuweisen. Ausgangsgemäss werden die Gerichtskosten den Beschwerdeführern in solidarischer Haftung auferlegt ( Art. 66 Abs. 1 und Abs. 5 BGG ). Parteientschädigungen sind keine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