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5A_969/2017 vom 19. Februar 2018</w:t>
      </w:r>
    </w:p>
    <w:p>
      <w:r>
        <w:t>Bundesgericht, 2018-02-19, FR</w:t>
      </w:r>
    </w:p>
    <w:p>
      <w:r>
        <w:rPr>
          <w:b/>
        </w:rPr>
        <w:t xml:space="preserve">Quelle: </w:t>
      </w:r>
      <w:r>
        <w:t>https://mcp.opencaselaw.ch/entscheid/bger_5A_969_2017</w:t>
      </w:r>
    </w:p>
    <w:p>
      <w:r>
        <w:t>FR: TF 5A_969/2017 du 19 février 2018</w:t>
      </w:r>
    </w:p>
    <w:p>
      <w:r>
        <w:t>IT: TF 5A_969/2017 del 19 febbraio 2018</w:t>
      </w:r>
    </w:p>
    <w:p>
      <w:pPr>
        <w:pStyle w:val="Heading2"/>
      </w:pPr>
      <w:r>
        <w:t>Erwägungen</w:t>
      </w:r>
    </w:p>
    <w:p>
      <w:r>
        <w:rPr>
          <w:b/>
        </w:rPr>
        <w:t>E. 1.1</w:t>
      </w:r>
    </w:p>
    <w:p>
      <w:r>
        <w:t>Selon l' art. 6 al. 1 PCF , en relation avec l' art. 71 LTF , la procédure peut être suspendue pour des motifs d'opportunité, notamment lorsque le jugement d'un autre litige peut influencer l'issue du procès.</w:t>
      </w:r>
    </w:p>
    <w:p>
      <w:r>
        <w:t>En l'espèce, la recourante requiert la suspension de la présente procédure jusqu'à droit connu dans la procédure pénale ayant donné lieu à l'ordonnance de non-entrée en matière rendue le 12 juillet 2017 (cf.</w:t>
      </w:r>
    </w:p>
    <w:p>
      <w:r>
        <w:t>supra let. C.d), puis retirée le 1er février 2018 dans le délai pour répondre au recours déposé à son encontre. Une telle suspension n'est pas opportune. En effet, les conditions d'une exception à l'interdiction des faits et moyens de preuve nouveaux ( art. 99 al. 1 LTF ; cf.</w:t>
      </w:r>
    </w:p>
    <w:p>
      <w:r>
        <w:t>infra consid. 2.3) ne peuvent être considérées comme remplies, la recourante se bornant au demeurant à affirmer, sans autre motivation, que dite procédure pénale serait " d'importance fondamentale pour la procédure en cours ". Il s'ensuit que la demande de suspension sera rejetée.</w:t>
      </w:r>
    </w:p>
    <w:p>
      <w:r>
        <w:rPr>
          <w:b/>
        </w:rPr>
        <w:t>E. 1.2</w:t>
      </w:r>
    </w:p>
    <w:p>
      <w:r>
        <w:t>L'arrêt entrepris, qui a pour objet le retrait, à titre provisionnel, de la garde et du droit de déterminer la résidence d'un enfant d'époux non mariés et son placement en foyer, est une décision prise en application de normes de droit public dans une matière connexe au droit civil (art. 72 al. 2 let. b ch. 6 LTF; arrêt 5A_429/2016 du 16 septembre 2016 consid. 1.1 et les références). La question soumise au Tribunal fédéral est de nature non pécuniaire. Par ailleurs, le recours a été interjeté dans le délai ( art. 100 al. 1 LTF ) et la forme ( art. 42 al. 1 LTF ) prévus par la loi, contre une décision finale ( art. 90 LTF ; arrêt 5A_429/2016 précité), rendue sur recours par une autorité supérieure ( art. 75 al. 1 et 2 LTF ). La recourante a en outre qualité pour recourir ( art. 76 al. 1 let. a et b LTF ). Le recours en matière civile est donc en principe recevable au regard des dispositions qui précèdent.</w:t>
      </w:r>
    </w:p>
    <w:p>
      <w:r>
        <w:rPr>
          <w:b/>
        </w:rPr>
        <w:t>E. 2.1</w:t>
      </w:r>
    </w:p>
    <w:p>
      <w:r>
        <w:t>Comme la décision entreprise porte sur des mesures provisionnelles au sens de l' art. 98 LTF (arrêt 5A_429/2016 précité consid. 2.1), la partie recourante ne peut dénoncer que la violation de droits constitutionnels. Le Tribunal fédéral n'examine de tels griefs que s'ils ont été invoqués et motivés par le recourant ( art. 106 al. 2 LTF ), c'est-à-dire expressément soulevés et exposés de manière claire et détaillée (" principe d'allégation "; ATF 143 II 283 consid. 1.2.2; 142 II 369 consid. 2.1; 142 III 364 consid. 2.4).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Par ailleurs, le grief doit être développé dans le recours même, un renvoi à d'autres écritures ou à des pièces n'étant pas admissible ( ATF 133 II 396 consid. 3.2).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w:t>
      </w:r>
    </w:p>
    <w:p>
      <w:r>
        <w:t>En l'espèce, les griefs de violation arbitraire ( art. 9 Cst. ) des art. 310 al. 1 et 423 al. 1 ch. 1 et 2 CC ne répondent manifestement pas aux exigences de motivation susrappelées. Il s'avère en effet que la recourante s'est bornée à recopier servilement son recours cantonal, y ajoutant, çà et là, la reproduction en italique d'extraits de la décision querellée ainsi que quelques allégations de nature purement appellatoire, fondées de surcroît sur des faits nouveaux irrecevables (lettre du Dr F.________ du 27 novembre 2017; cf.</w:t>
      </w:r>
    </w:p>
    <w:p>
      <w:r>
        <w:t>infra consid. 2.3). Il ne saurait être entré en matière sur ces moyens.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l'espèce, les faits allégués aux chiffres 1 à 34 pages 4 à 13 du recours seront ignorés en tant qu'ils s'écartent de ceux contenus dans l'arrêt attaqué sans que la recourante n'invoque, ni</w:t>
      </w:r>
    </w:p>
    <w:p>
      <w:r>
        <w:t>a fortiori ne démontre, leur établissement arbitraire ou que leur correction influerait sur le sort de la cause. Quant aux faits et appréciations relatifs à l'ordonnance de non-entrée en matière du 12 juillet 2017 et au recours déposé à son encontre le 18 juillet 2017 devant la Chambre pénale de recours de la Cour de justice du canton de Genève, la recourante ne fait qu'affirmer péremptoirement qu'ils seraient propres à modifier la décision querellée, ce qui n'est pas admissible. Se contenter, à l'appui d'une telle affirmation, d'un simple " copié-collé " de l'acte de recours cantonal ne permet en effet pas de démontrer à satisfaction l'arbitraire dans la constatation des faits, étant pour le surplus rappelé que le Tribunal fédéral n'est pas une cour d'appel qui pourrait revoir librement la cause sous tous ses aspects.</w:t>
      </w:r>
    </w:p>
    <w:p>
      <w:r>
        <w:rPr>
          <w:b/>
        </w:rPr>
        <w:t>E. 2.3</w:t>
      </w:r>
    </w:p>
    <w:p>
      <w:r>
        <w:t>Aucun fait nouveau ni preuve nouvelle ne peut être présenté à moins de résulter de la décision de l'autorité précédente ( art. 99 al. 1 LTF ). Cette exception, dont il appartient aux parties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w:t>
      </w:r>
    </w:p>
    <w:p>
      <w:r>
        <w:t>nova ne sont pas admissibles, qu'il s'agisse de faits ou moyens de preuve survenus postérieurement à la décision attaquée (vrais</w:t>
      </w:r>
    </w:p>
    <w:p>
      <w:r>
        <w:t>nova ; ATF 143 V 19 consid. 1.2 et les références), ou d'éléments que les parties ont négligé de présenter aux autorités cantonales ( ATF 139 III 120 consid. 3.1.2; 136 III 123 consid. 4.4.3; arrêt 5A_756/2017 du 6 novembre 2017 consid. 2.3).</w:t>
      </w:r>
    </w:p>
    <w:p>
      <w:r>
        <w:t>En l'espèce, outre les pièces propres à justifier sa requête d'assistance judiciaire (pièces 2 à 4), la recourante produit une pièce nouvelle (pièce 16), soit un courrier du Dr F.________ daté du 27 novembre 2017. Ce courrier est un vrai</w:t>
      </w:r>
    </w:p>
    <w:p>
      <w:r>
        <w:t>novum qui ne résulte pas de l'arrêt attaqué, de sorte qu'il est irrecevable.</w:t>
      </w:r>
    </w:p>
    <w:p>
      <w:r>
        <w:rPr>
          <w:b/>
        </w:rPr>
        <w:t>E. 3</w:t>
      </w:r>
    </w:p>
    <w:p>
      <w:r>
        <w:t>Invoquant la constatation manifestement inexacte des faits et la violation de l' art. 9 Cst. , la recourante restitue mot pour mot le grief de " constatation inexacte des faits pertinents " qu'elle avait soulevé dans son recours cantonal (p. 17-18) et reproche à la Chambre de surveillance d'être restée " absolument muette sur ce point ", respectivement d'avoir omis de se prononcer sur cette question. S'agissant des faits relatifs à la procédure pénale pendante devant les juridictions genevoises que la cour cantonale aurait prétendument négligé de constater, le sort de ce moyen a déjà été tranché ci-dessus (cf.</w:t>
      </w:r>
    </w:p>
    <w:p>
      <w:r>
        <w:t>supra consid. 2.2), si bien qu'il n'y a pas lieu d'y revenir. Pour le reste, bien qu'elle n'invoque pas l' art. 29 al. 2 Cst. , il apparaît que la recourante se plaint en réalité d'une violation de son droit d'être entendue ( art. 29 al. 2 Cst. ), sous l'aspect du droit à une décision motivée.</w:t>
      </w:r>
    </w:p>
    <w:p>
      <w:r>
        <w:rPr>
          <w:b/>
        </w:rPr>
        <w:t>E. 3.1</w:t>
      </w:r>
    </w:p>
    <w:p>
      <w:r>
        <w:t>La jurisprudence a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141 V 557 consid. 3.2.1; 141 IV 249 consid. 1.3.1). Dès lors que l'on peut discerner les motifs qui ont guidé la décision de l'autorité, le droit à une décision motivée est respecté même si la motivation présentée est erronée ( ATF 141 V 557 consid. 3.2.1).</w:t>
      </w:r>
    </w:p>
    <w:p>
      <w:r>
        <w:rPr>
          <w:b/>
        </w:rPr>
        <w:t>E. 3.2</w:t>
      </w:r>
    </w:p>
    <w:p>
      <w:r>
        <w:t>La Chambre de surveillance a exposé de manière détaillée les éléments qui l'ont amenée à confirmer la mesure querellée. La recourante n'explique pas en quoi une telle motivation serait insuffisante et l'empêcherait de contester l'appréciation des juges cantonaux, se contentant de reproduire le texte de son recours cantonal, au demeurant difficilement compréhensible. Insuffisamment motivé, le grief (implicite) de violation du droit d'être entendu est irrecevable.</w:t>
      </w:r>
    </w:p>
    <w:p>
      <w:r>
        <w:rPr>
          <w:b/>
        </w:rPr>
        <w:t>E. 4</w:t>
      </w:r>
    </w:p>
    <w:p>
      <w:r>
        <w:t>La recourante se plaint d'une violation de l'interdiction de l'arbitraire ( art. 9 Cst. ).</w:t>
      </w:r>
    </w:p>
    <w:p>
      <w:r>
        <w:rPr>
          <w:b/>
        </w:rPr>
        <w:t>E. 4.1</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w:t>
      </w:r>
    </w:p>
    <w:p>
      <w:r>
        <w:rPr>
          <w:b/>
        </w:rPr>
        <w:t>E. 4.2</w:t>
      </w:r>
    </w:p>
    <w:p>
      <w:r>
        <w:t>La Chambre de surveillance a considéré que la mesure prise par le Tribunal de protection était adéquate et nécessaire afin d'assurer le bon développement de l'enfant, aucune mesure moins incisive n'étant susceptible d'assurer la protection dont il a besoin. En effet, l'ensemble des mesures mises en place afin de laisser l'enfant dans son milieu familial s'est avéré insuffisant, la mère ne parvenant toujours pas à cadrer son fils, ni à le stimuler de manière satisfaisante, ni même à lui offrir un cadre de vie stable et régulier, nécessaire à un enfant de cet âge. Seul l'accueil de jour avait permis à l'enfant de se développer un minimum mais la méfiance de la mère et finalement son refus de poursuivre cette prise en charge compromettaient de manière trop importante le bon développement de l'enfant, de sorte que le placement en foyer s'avérait être la seule solution pour permettre de répondre aux besoins spécifiques du mineur, liés à son retard de langage, à ses troubles du comportement et à la préparation de sa rentrée prochaine à l'école.</w:t>
      </w:r>
    </w:p>
    <w:p>
      <w:r>
        <w:t>Les juges cantonaux ont par ailleurs constaté que l'inaptitude de la mère à comprendre les besoins de son fils et à appréhender les enjeux liés à sa prise en charge avait trouvé son apogée dans son départ précipité avec l'enfant, qui portait définitivement atteinte au développement de ce dernier, lequel, depuis mi-août 2017, était coupé de tout soin et de toute prise en charge spécialisée. La mesure querellée, qui était déjà justifiée au moment où le Tribunal de protection a pris sa décision, s'imposait d'autant plus depuis lors, puisque la mère mettait en danger le développement physique, psychique et moral de l'enfant, par ses agissements inconsidérés.</w:t>
      </w:r>
    </w:p>
    <w:p>
      <w:r>
        <w:rPr>
          <w:b/>
        </w:rPr>
        <w:t>E. 4.3</w:t>
      </w:r>
    </w:p>
    <w:p>
      <w:r>
        <w:t>La recourante reproche à la cour cantonale d'avoir retenu qu'elle avait mis en danger le développement physique, psychique et moral de son fils au motif qu'elle l'avait coupé de tout soin et de toute prise en charge spécialisée en partant au Brésil au mois d'août 2017. Une telle conclusion était insoutenable et choquante dès lors qu'elle se fondait sur des informations qui n'avaient pas été démontrées. Ni le SPMi ni la police n'avaient présenté la moindre preuve relative à son départ au Brésil. Rien ne permettait donc à la Cour de justice d'affirmer avec certitude qu'elle était partie dans ce pays. A supposer qu'un tel départ ait eu lieu et que l'enfant s'y trouverait effectivement, rien ne permettait non plus aux juges cantonaux d'affirmer que ce dernier se trouvait privé de soins et de prise en charge spécialisée, faute d'informations sur la vie de l'enfant là-bas. C'était par conséquent de façon arbitraire et insoutenable que la décision querellée avait confirmé le retrait de la garde.</w:t>
      </w:r>
    </w:p>
    <w:p>
      <w:r>
        <w:rPr>
          <w:b/>
        </w:rPr>
        <w:t>E. 4.4</w:t>
      </w:r>
    </w:p>
    <w:p>
      <w:r>
        <w:t>En l'occurrence, la recourante ne fait que contester, par une simple dénégation, l'opinion que les précédents juges ont acquise sur la base de leur appréciation des preuves. Ce faisant, elle ne respecte à l'évidence pas les exigences en matière de motivation d'un recours soumis à l' art. 98 LTF (cf.</w:t>
      </w:r>
    </w:p>
    <w:p>
      <w:r>
        <w:t>supra consid. 2.1). Au demeurant, la recourante perd manifestement de vue que le départ au Brésil ne constitue nullement la seule raison ayant conduit la Chambre de surveillance à valider la mesure querellée. Il ne vient que corroborer, autant que nécessaire, les motifs existant au moment du prononcé du Tribunal de protection, au sujet desquels la recourante ne dit mot. Par ailleurs, lorsqu'elle soutient que son départ au Brésil devrait être étayé par une preuve certaine, la recourante méconnaît la nature de mesure provisionnelle de la décision en cause. Celle-ci a été rendue à la suite d'une procédure sommaire avec administration restreinte des moyens de preuve et limitation du degré de la preuve à la simple vraisemblance (cf. art. 445 al. 1</w:t>
      </w:r>
    </w:p>
    <w:p>
      <w:r>
        <w:t>cum</w:t>
      </w:r>
    </w:p>
    <w:p>
      <w:r>
        <w:t>art. 314 al. 1 CC , art. 248 ss, spéc. 261 ss CPC</w:t>
      </w:r>
    </w:p>
    <w:p>
      <w:r>
        <w:t>cum</w:t>
      </w:r>
    </w:p>
    <w:p>
      <w:r>
        <w:t>art. 31 al. 1 let . c de la loi d'application du code civil suisse et d'autres lois fédérales en matière civile du 11 octobre 2012 (LaCC; RS/GE E 1 05)). Il suffisait donc que les faits soient rendus plausibles. La cour cantonale pouvait ainsi, sans aucun arbitraire, tenir pour vraisemblable le déplacement hors de Suisse de la recourante avec son fils sur le vu des informations de la Brigade des mineurs relayées par le SPMi. En déduire que l'enfant est, de ce fait, privé de la prise en charge mise en place jusqu'alors n'a rien d'insoutenable.</w:t>
      </w:r>
    </w:p>
    <w:p>
      <w:r>
        <w:t>Autant que recevable, le grief ne peut qu'être rejeté.</w:t>
      </w:r>
    </w:p>
    <w:p>
      <w:r>
        <w:rPr>
          <w:b/>
        </w:rPr>
        <w:t>E. 5</w:t>
      </w:r>
    </w:p>
    <w:p>
      <w:r>
        <w:t>En définitive, le recours est rejeté dans la (faible) mesure de sa recevabilité. Faute de chances de succès du recours, la requête d'assistance judiciaire pour la procédure fédérale déposée par la recourante ne saurait être agréée ( art. 64 al. 1 LTF ). Les frais judiciaires, arrêtés à 2'000 fr., doivent par conséquent être mis à sa charge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