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968/2015 vom 7. März 2016</w:t>
      </w:r>
    </w:p>
    <w:p>
      <w:r>
        <w:t>Bundesgericht, 2016-03-07, DE</w:t>
      </w:r>
    </w:p>
    <w:p>
      <w:r>
        <w:rPr>
          <w:b/>
        </w:rPr>
        <w:t xml:space="preserve">Quelle: </w:t>
      </w:r>
      <w:r>
        <w:t>https://mcp.opencaselaw.ch/entscheid/bger_5A_968_2015</w:t>
      </w:r>
    </w:p>
    <w:p>
      <w:r>
        <w:t>FR: TF 5A 968/2015 du 7 mars 2016</w:t>
      </w:r>
    </w:p>
    <w:p>
      <w:r>
        <w:t>IT: TF 5A 968/2015 del 7 marzo 2016</w:t>
      </w:r>
    </w:p>
    <w:p>
      <w:pPr>
        <w:pStyle w:val="Heading2"/>
      </w:pPr>
      <w:r>
        <w:t>Regeste</w:t>
      </w:r>
    </w:p>
    <w:p>
      <w:r>
        <w:t>aufschiebende Wirkung (Pfändungsverfahren) | Schuldbetreibungs- und Konkursrecht</w:t>
      </w:r>
    </w:p>
    <w:p>
      <w:pPr>
        <w:pStyle w:val="Heading2"/>
      </w:pPr>
      <w:r>
        <w:t>Erwägungen</w:t>
      </w:r>
    </w:p>
    <w:p>
      <w:r>
        <w:rPr>
          <w:b/>
        </w:rPr>
        <w:t>E. 1</w:t>
      </w:r>
    </w:p>
    <w:p>
      <w:r>
        <w:t>Die Beschwerde richtet sich gegen die Abweisung des Gesuchs um aufschiebende Wirkung bzw. um Anordnung vorsorglicher Massnahmen (vgl. dazu E. 2.4 hiernach). Dabei handelt es sich um einen Zwischenentscheid, welcher nur anfechtbar ist, sofern er einen nicht wieder gutzumachenden Nachteil bewirken kann ( Art. 93 Abs. 1 lit. a BGG ). Diese Bedingung ist erfüllt, zumal ein Eingriff ins Existenzminimum des Beschwerdeführers zur Diskussion steht, der nachträglich nicht mehr ungeschehen gemacht werden könnte. Die Anfechtbarkeit von Zwischenentscheiden richtet sich nach dem Rechtsweg in der Hauptsache ( BGE 137 III 380 E. 1.1 S. 382). In dieser geht es um ein Verfahren nach Art. 17 SchKG , womit die Beschwerde in Zivilsachen ohne Rücksicht auf einen Streitwert gegeben ist ( Art. 72 Abs. 2 lit. a, Art. 74 Abs. 2 lit. c BGG ). Die angefochtene Verfügung betrifft eine vorsorgliche Massnahme im Sinne von Art. 98 BGG , weshalb einzig die Verletzung verfassungsmässiger Rechte angerufen werden kann (vgl. BGE 137 III 475 E. 2 S. 477). Hierfür gilt das strenge Rügeprinzip im Sinn von Art. 106 Abs. 2 BGG .</w:t>
      </w:r>
    </w:p>
    <w:p>
      <w:r>
        <w:rPr>
          <w:b/>
        </w:rPr>
        <w:t>E. 2.1</w:t>
      </w:r>
    </w:p>
    <w:p>
      <w:r>
        <w:t>Die Beschwerde ist nur im Rahmen des Streitgegenstands zulässig. Von vornherein nicht einzutreten ist auf die Beschwerde, soweit der Beschwerdeführer andere Entscheide anficht als jenen der Aufsichtsbehörde vom 24. November 2015 (z.B. die Verweigerung des Steuererlasses).</w:t>
      </w:r>
    </w:p>
    <w:p>
      <w:r>
        <w:rPr>
          <w:b/>
        </w:rPr>
        <w:t>E. 2.2</w:t>
      </w:r>
    </w:p>
    <w:p>
      <w:r>
        <w:t>Soweit er sich gegen das einstufige Behördensystem im Kanton Bern wendet, ist der Beschwerdeführer darauf hinzuweisen, dass diese Möglichkeit bundesrechtlich vorgesehen ist ( Art. 13 Abs. 2 SchKG ).</w:t>
      </w:r>
    </w:p>
    <w:p>
      <w:r>
        <w:rPr>
          <w:b/>
        </w:rPr>
        <w:t>E. 2.3</w:t>
      </w:r>
    </w:p>
    <w:p>
      <w:r>
        <w:t>Der Beschwerdeführer bezeichnet Oberrichter Messer als befangen und verlangt dessen Ausstand. Seine Ausführungen reichen zum Nachweis eines Ausstandsgrundes indes offensichtlich nicht aus. Ein Ablehnungsbegehren kann nicht allein damit begründet werden, dass der Richter nicht so entschieden hat, wie es die betreffende Partei für richtig hält. Damit kann offenbleiben, ob das Gesuch rechtzeitig gestellt wurde.</w:t>
      </w:r>
    </w:p>
    <w:p>
      <w:r>
        <w:rPr>
          <w:b/>
        </w:rPr>
        <w:t>E. 2.4</w:t>
      </w:r>
    </w:p>
    <w:p>
      <w:r>
        <w:t>Der Beschwerdeführer rügt sodann eine (sinngemäss willkürliche) Umdeutung seines Gesuchs um vorsorgliche Massnahmen im Sinne von Art. 261 ff. ZPO in ein solches um aufschiebende Wirkung, doch ist die Vorgehensweise der Vorinstanz unter Willkürgesichtspunkten nicht zu beanstanden. Das Verfahren vor den kantonalen Aufsichtsbehörden wird vom Bundesrecht ( Art. 20a Abs. 2 SchKG ) geregelt und es muss zudem verfassungsmässigen Vorgaben genügen. Im Weiteren regeln die Kantone das Verfahren ( Art. 20a Abs. 3 SchKG ). Die schweizerische Zivilprozessordnung (ZPO) betrifft einzig die gerichtlichen Angelegenheiten des Schuldbetreibungs- und Konkursrechts ( Art. 1 lit. c ZPO ). Hingegen steht die betreibungsrechtliche Beschwerde ausserhalb der ZPO (Urteil 5A_448/2011 E. 2.1 vom 31. Oktober 2011). Die Vorinstanz durfte daher das nicht näher konkretisierte Begehren des Beschwerdeführers willkürfrei als solches um aufschiebende Wirkung (welche sich in SchKG-Beschwerdeverfahren ausschliesslich nach Art. 36 SchKG richtet) entgegennehmen.</w:t>
      </w:r>
    </w:p>
    <w:p>
      <w:r>
        <w:rPr>
          <w:b/>
        </w:rPr>
        <w:t>E. 3</w:t>
      </w:r>
    </w:p>
    <w:p>
      <w:r>
        <w:t>Vorliegend hat die Vorinstanz das Betreibungsamt de facto angewiesen - was der Beschwerdeführer nicht in Frage stellt - die gepfändeten Beträge bis zum Entscheid in der Sache nicht an die Gläubiger auszubezahlen. Der Beschwerdeführer erachtet diese bloss beschränkte Gewährung der aufschiebenden Wirkung als "hanebüchen" und damit sinngemäss als willkürlich. Er werde vor die Wahl gestellt, entweder zu verhungern oder obdachlos zu werden.</w:t>
      </w:r>
    </w:p>
    <w:p>
      <w:r>
        <w:rPr>
          <w:b/>
        </w:rPr>
        <w:t>E. 3.1</w:t>
      </w:r>
    </w:p>
    <w:p>
      <w:r>
        <w:t>Der betreibungsrechtlichen Beschwerde nach Art. 17 SchKG kommt von Gesetzes wegen keine aufschiebende Wirkung zu ( Art. 36 SchKG ). Die Anordnung oder Verweigerung der aufschiebenden Wirkung stellt einen Ermessensentscheid der Aufsichtsbehörde bzw. ihres Präsidenten dar (Urteil 5A_406/2009 vom 22. Juni 2011 E. 7.2; BGE 81 III 7 E. 2 S. 10). Der Entscheid über die Gewährung der aufschiebenden Wirkung wirkt, wenn die Beschwerdeinstanz nichts anderes anordnet, ex tunc, d.h. von dem Zeitpunkt an, in welchem die angefochtene Verfügung oder Entscheidung erlassen worden ist (vgl. BGE 127 III 569 E. 4b S. 571; Urteil 5A_187/2011 vom 13. Mai 2011 E. 5.2, in: SJ 2011 I S. 390; COMETTA/MÖCKLI, in: Basler Kommentar, Bundesgesetz über Schuldbetreibung und Konkurs, Bd. I, 2. Aufl. 2010, N. 11 zu Art. 36 SchKG ). Wird die aufschiebende Wirkung von der jeweiligen Beschwerdeinstanz erteilt, so sollte sie auf das Nötigste beschränkt werden. Zudem empfiehlt sich, den Gang des Betreibungsverfahrens im frühen Stadium nur zurückhaltend anzuhalten. Grundsätzlich ist die aufschiebende Wirkung erst auf den Zeitpunkt zu gewähren, in dem nicht reversible Vorkehren zu treffen sind, wie z.B. die Verwertung und die Verteilung (Urteil 5A_466/2014 vom 22. Juli 2014 E. 2.1 mit Hinweis auf JENT-SØRENSEN, Das kantonale Verfahren nach Art. 20a Abs. 3 SchKG , BlSchK 2013 S. 109; vgl. zur partiellen Gewährung der aufschiebenden Wirkung auch AMONN/WALTHER, Grundriss des Schuldbetreibungs- und Konkursrechts, 9. Aufl. 2013, § 6 Rz. 67).</w:t>
      </w:r>
    </w:p>
    <w:p>
      <w:r>
        <w:rPr>
          <w:b/>
        </w:rPr>
        <w:t>E. 3.2</w:t>
      </w:r>
    </w:p>
    <w:p>
      <w:r>
        <w:t>Der Beschwerdeführer wollte mit seinem vor der Aufsichtsbehörde gestellten Gesuch offenbar namentlich erreichen, dass die der Pensionskasse B. angezeigte Rentenpfändung bereits vor dem Entscheid in der Hauptsache widerrufen wird. Die Gewährung der aufschiebenden Wirkung soll indes nicht dazu führen, dass der Entscheid in der Sache präjudiziert wird, was gerade der Fall gewesen wäre, wenn die Vorinstanz der Beschwerde die aufschiebende Wirkung mit einem über den Aufschub der Verteilung hinausgehenden Inhalt zuerkannt hätte. Zwar hat das Betreibungsamt bei der Ermittlung des betreibungsrechtlichen Existenzminimums des Beschwerdeführers keine Wohnungsmietzinse berücksichtigt, doch wird selbst der Mietzins im betreibungsrechtlichen Existenzminimum des Schuldners nicht voraussetzungslos angerechnet (vgl. BGE 121 III 20 E. 3 S. 22 f.). Der Beschwerdeführer vermag mithin nicht aufzuzeigen, dass die Vorinstanz der Beschwerde von vornherein so überwiegende Erfolgsaussichten hätte beimessen müssen, dass ihr Ermessensentscheid unter diesem Blickwinkel als geradezu unhaltbar bezeichnet werden könnte ( Art. 9 BV ; vgl. zum Willkürbegriff: BGE 140 III 167 E. 2.1 S. 168).</w:t>
      </w:r>
    </w:p>
    <w:p>
      <w:r>
        <w:rPr>
          <w:b/>
        </w:rPr>
        <w:t>E. 4</w:t>
      </w:r>
    </w:p>
    <w:p>
      <w:r>
        <w:t>Aus den dargelegten Gründen hält der angefochtene Entscheid vor der Verfassung stand. Die Beschwerde muss abgewiesen werden, soweit darauf eingetreten werden kann. Der Beschwerdeführer hat für die Gerichtskosten aufzukommen ( Art. 66 Abs. 1 BGG ). Wie die vorstehenden Erwägungen aufzeigen, muss die Beschwerde als von Anfang an aussichtslos betrachtet werden.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