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964/2022 vom 14. Dezember 2022</w:t>
      </w:r>
    </w:p>
    <w:p>
      <w:r>
        <w:t>Bundesgericht, 2022-12-14, DE</w:t>
      </w:r>
    </w:p>
    <w:p>
      <w:r>
        <w:rPr>
          <w:b/>
        </w:rPr>
        <w:t xml:space="preserve">Quelle: </w:t>
      </w:r>
      <w:r>
        <w:t>https://mcp.opencaselaw.ch/entscheid/bger_5A_964_2022</w:t>
      </w:r>
    </w:p>
    <w:p>
      <w:r>
        <w:t>FR: TF 5A 964/2022 du 14 décembre 2022</w:t>
      </w:r>
    </w:p>
    <w:p>
      <w:r>
        <w:t>IT: TF 5A 964/2022 del 14 dicembre 2022</w:t>
      </w:r>
    </w:p>
    <w:p>
      <w:pPr>
        <w:pStyle w:val="Heading2"/>
      </w:pPr>
      <w:r>
        <w:t>Regeste</w:t>
      </w:r>
    </w:p>
    <w:p>
      <w:r>
        <w:t>Unentgeltliche Rechtspflege (Ehescheidung) | Familienrecht</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darzulegen ist, inwiefern der angefochtene Entscheid Recht verletzt ( Art. 42 Abs. 2 BGG ), was eine sachbezogene Auseinandersetzung mit dessen Erwägungen erfordert ( BGE 140 III 115 E. 2; 142 III 364 E. 2.4).</w:t>
      </w:r>
    </w:p>
    <w:p>
      <w:r>
        <w:rPr>
          <w:b/>
        </w:rPr>
        <w:t>E. 2</w:t>
      </w:r>
    </w:p>
    <w:p>
      <w:r>
        <w:t>Das Obergericht ist auf die Beschwerde nicht eingetreten mit der Begründung, dem Beschwerdeführer fehle es in Bezug auf die der Beschwerdegegnerin erteilte unentgeltliche Rechtspflege an einer Beschwer. Der Beschwerdeführer äussert sich hierzu überhaupt nicht, sondern bringt - soweit die Ausführungen überhaupt verständlich sind - zum Ausdruck, dass die Beschwerdegegnerin ihn stalke und er ihr Sugar-Daddy sei bzw. sie von einem anderen Sugar-Daddy Geld erhalte und Sozialhilfebetrug betreibe.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